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1D3" w:rsidRPr="00AB2DCB" w:rsidRDefault="001E31AB" w:rsidP="000D3047">
      <w:pPr>
        <w:spacing w:line="240" w:lineRule="auto"/>
        <w:jc w:val="both"/>
        <w:rPr>
          <w:rFonts w:asciiTheme="majorHAnsi" w:hAnsiTheme="majorHAnsi" w:cs="Times New Roman"/>
          <w:b/>
          <w:color w:val="4C7563" w:themeColor="accent1"/>
          <w:sz w:val="28"/>
          <w:szCs w:val="24"/>
        </w:rPr>
      </w:pPr>
      <w:bookmarkStart w:id="0" w:name="_GoBack"/>
      <w:bookmarkEnd w:id="0"/>
      <w:r w:rsidRPr="00AB2DCB">
        <w:rPr>
          <w:rFonts w:asciiTheme="majorHAnsi" w:hAnsiTheme="majorHAnsi" w:cs="Times New Roman"/>
          <w:b/>
          <w:color w:val="4C7563" w:themeColor="accent1"/>
          <w:sz w:val="28"/>
          <w:szCs w:val="24"/>
        </w:rPr>
        <w:t xml:space="preserve">OBCHODNÉ PODMIENKY </w:t>
      </w:r>
    </w:p>
    <w:p w:rsidR="007529CD" w:rsidRPr="00AB2DCB" w:rsidRDefault="007529CD" w:rsidP="000D3047">
      <w:pPr>
        <w:spacing w:line="240" w:lineRule="auto"/>
        <w:jc w:val="both"/>
        <w:rPr>
          <w:rFonts w:asciiTheme="majorHAnsi" w:hAnsiTheme="majorHAnsi" w:cs="Times New Roman"/>
          <w:b/>
          <w:bCs/>
          <w:color w:val="4C7563" w:themeColor="accent1"/>
          <w:sz w:val="24"/>
          <w:szCs w:val="24"/>
        </w:rPr>
      </w:pPr>
      <w:r w:rsidRPr="00AB2DCB">
        <w:rPr>
          <w:rFonts w:asciiTheme="majorHAnsi" w:hAnsiTheme="majorHAnsi" w:cs="Times New Roman"/>
          <w:b/>
          <w:bCs/>
          <w:color w:val="4C7563" w:themeColor="accent1"/>
          <w:sz w:val="24"/>
          <w:szCs w:val="24"/>
        </w:rPr>
        <w:t>K ZMLUVE O ZRIADENÍ A VEDENÍ ÚČTU M</w:t>
      </w:r>
      <w:r w:rsidR="002A6DEE" w:rsidRPr="00AB2DCB">
        <w:rPr>
          <w:rFonts w:asciiTheme="majorHAnsi" w:hAnsiTheme="majorHAnsi" w:cs="Times New Roman"/>
          <w:b/>
          <w:bCs/>
          <w:color w:val="4C7563" w:themeColor="accent1"/>
          <w:sz w:val="24"/>
          <w:szCs w:val="24"/>
        </w:rPr>
        <w:t>AJI</w:t>
      </w:r>
      <w:r w:rsidRPr="00AB2DCB">
        <w:rPr>
          <w:rFonts w:asciiTheme="majorHAnsi" w:hAnsiTheme="majorHAnsi" w:cs="Times New Roman"/>
          <w:b/>
          <w:bCs/>
          <w:color w:val="4C7563" w:themeColor="accent1"/>
          <w:sz w:val="24"/>
          <w:szCs w:val="24"/>
        </w:rPr>
        <w:t xml:space="preserve">TEĽA ZAKNIHOVANÝCH CENNÝCH PAPIEROV </w:t>
      </w:r>
    </w:p>
    <w:p w:rsidR="00A33E2B" w:rsidRPr="00DC024F" w:rsidRDefault="001E31AB" w:rsidP="000D3047">
      <w:pPr>
        <w:spacing w:line="240" w:lineRule="auto"/>
        <w:jc w:val="both"/>
        <w:rPr>
          <w:rFonts w:ascii="Times New Roman" w:hAnsi="Times New Roman" w:cs="Times New Roman"/>
          <w:color w:val="000000" w:themeColor="text1"/>
          <w:sz w:val="24"/>
          <w:szCs w:val="24"/>
        </w:rPr>
      </w:pPr>
      <w:r w:rsidRPr="00DC024F">
        <w:rPr>
          <w:rFonts w:ascii="Times New Roman" w:hAnsi="Times New Roman" w:cs="Times New Roman"/>
          <w:color w:val="000000" w:themeColor="text1"/>
          <w:sz w:val="24"/>
          <w:szCs w:val="24"/>
        </w:rPr>
        <w:t>uzatvorenej v súlade s príslušnými ustanoveniami zákona č. 566/2001 Z. z. o cenných papieroch a investičných službách a o zmene a doplnení niektorých zákonov v znení neskorších predpisov (ďalej len „zákon“), Prevádzkového poriadku</w:t>
      </w:r>
      <w:r w:rsidR="000D3047" w:rsidRPr="00DC024F">
        <w:rPr>
          <w:rFonts w:ascii="Times New Roman" w:hAnsi="Times New Roman" w:cs="Times New Roman"/>
          <w:color w:val="000000" w:themeColor="text1"/>
          <w:sz w:val="24"/>
          <w:szCs w:val="24"/>
        </w:rPr>
        <w:t xml:space="preserve"> Centrálneho depozitára cenných papierov SR,</w:t>
      </w:r>
      <w:r w:rsidR="00073EA2" w:rsidRPr="00DC024F">
        <w:rPr>
          <w:rFonts w:ascii="Times New Roman" w:hAnsi="Times New Roman" w:cs="Times New Roman"/>
          <w:color w:val="000000" w:themeColor="text1"/>
          <w:sz w:val="24"/>
          <w:szCs w:val="24"/>
        </w:rPr>
        <w:t xml:space="preserve"> </w:t>
      </w:r>
      <w:r w:rsidR="000D3047" w:rsidRPr="00DC024F">
        <w:rPr>
          <w:rFonts w:ascii="Times New Roman" w:hAnsi="Times New Roman" w:cs="Times New Roman"/>
          <w:color w:val="000000" w:themeColor="text1"/>
          <w:sz w:val="24"/>
          <w:szCs w:val="24"/>
        </w:rPr>
        <w:t>a.s.</w:t>
      </w:r>
      <w:r w:rsidR="00073EA2" w:rsidRPr="00DC024F">
        <w:rPr>
          <w:rFonts w:ascii="Times New Roman" w:hAnsi="Times New Roman" w:cs="Times New Roman"/>
          <w:color w:val="000000" w:themeColor="text1"/>
          <w:sz w:val="24"/>
          <w:szCs w:val="24"/>
        </w:rPr>
        <w:t>(ďalej len „Prevádzkový poriadok“)</w:t>
      </w:r>
      <w:r w:rsidRPr="00DC024F">
        <w:rPr>
          <w:rFonts w:ascii="Times New Roman" w:hAnsi="Times New Roman" w:cs="Times New Roman"/>
          <w:color w:val="000000" w:themeColor="text1"/>
          <w:sz w:val="24"/>
          <w:szCs w:val="24"/>
        </w:rPr>
        <w:t>, § 262 ods. 1 a § 269 ods. 2 zákona č. 513/1991 Zb. Obchodného zákonníka</w:t>
      </w:r>
      <w:r w:rsidR="00025A92">
        <w:rPr>
          <w:rFonts w:ascii="Times New Roman" w:hAnsi="Times New Roman" w:cs="Times New Roman"/>
          <w:color w:val="000000" w:themeColor="text1"/>
          <w:sz w:val="24"/>
          <w:szCs w:val="24"/>
        </w:rPr>
        <w:t>.</w:t>
      </w:r>
    </w:p>
    <w:p w:rsidR="007529CD" w:rsidRPr="00DC024F" w:rsidRDefault="007529CD" w:rsidP="007529CD">
      <w:pPr>
        <w:spacing w:line="240" w:lineRule="auto"/>
        <w:rPr>
          <w:rFonts w:ascii="Times New Roman" w:hAnsi="Times New Roman" w:cs="Times New Roman"/>
          <w:b/>
          <w:color w:val="000000" w:themeColor="text1"/>
          <w:sz w:val="24"/>
          <w:szCs w:val="24"/>
        </w:rPr>
      </w:pPr>
      <w:r w:rsidRPr="00DC024F">
        <w:rPr>
          <w:rFonts w:ascii="Times New Roman" w:hAnsi="Times New Roman" w:cs="Times New Roman"/>
          <w:b/>
          <w:color w:val="000000" w:themeColor="text1"/>
          <w:sz w:val="24"/>
          <w:szCs w:val="24"/>
        </w:rPr>
        <w:t xml:space="preserve">1. </w:t>
      </w:r>
      <w:r w:rsidR="001E31AB" w:rsidRPr="00DC024F">
        <w:rPr>
          <w:rFonts w:ascii="Times New Roman" w:hAnsi="Times New Roman" w:cs="Times New Roman"/>
          <w:b/>
          <w:color w:val="000000" w:themeColor="text1"/>
          <w:sz w:val="24"/>
          <w:szCs w:val="24"/>
        </w:rPr>
        <w:t>ÚVODNÉ USTANOVENIA</w:t>
      </w:r>
    </w:p>
    <w:p w:rsidR="007529CD" w:rsidRPr="00E24925" w:rsidRDefault="000D3047" w:rsidP="007529CD">
      <w:pPr>
        <w:pStyle w:val="Odsekzoznamu"/>
        <w:numPr>
          <w:ilvl w:val="0"/>
          <w:numId w:val="17"/>
        </w:numPr>
        <w:spacing w:line="240" w:lineRule="auto"/>
        <w:jc w:val="both"/>
        <w:rPr>
          <w:rFonts w:ascii="Times New Roman" w:hAnsi="Times New Roman" w:cs="Times New Roman"/>
          <w:b/>
          <w:sz w:val="24"/>
          <w:szCs w:val="24"/>
        </w:rPr>
      </w:pPr>
      <w:r w:rsidRPr="00E24925">
        <w:rPr>
          <w:rFonts w:ascii="Times New Roman" w:hAnsi="Times New Roman" w:cs="Times New Roman"/>
          <w:sz w:val="24"/>
          <w:szCs w:val="24"/>
        </w:rPr>
        <w:t xml:space="preserve">Tieto obchodné podmienky predstavujú obchodné podmienky Centrálneho depozitára cenných papierov SR, a.s. (ďalej len „centrálny depozitár“) vydané v  zmysle § 273 </w:t>
      </w:r>
      <w:r w:rsidR="003A51D3" w:rsidRPr="00E24925">
        <w:rPr>
          <w:rFonts w:ascii="Times New Roman" w:hAnsi="Times New Roman" w:cs="Times New Roman"/>
          <w:sz w:val="24"/>
          <w:szCs w:val="24"/>
        </w:rPr>
        <w:t xml:space="preserve">zákona č. 513/1991 Zb. </w:t>
      </w:r>
      <w:r w:rsidRPr="00E24925">
        <w:rPr>
          <w:rFonts w:ascii="Times New Roman" w:hAnsi="Times New Roman" w:cs="Times New Roman"/>
          <w:sz w:val="24"/>
          <w:szCs w:val="24"/>
        </w:rPr>
        <w:t>Obchodného zákonníka ako obchodné podmienky, ktoré sa vzťahujú na právne vzťahy medzi centrálnym depozitárom a majiteľom účtu vyplývajúce zo Zmluvy o zriadení a vedení účtu majiteľa zaknihovanýc</w:t>
      </w:r>
      <w:r w:rsidR="000F230C" w:rsidRPr="00E24925">
        <w:rPr>
          <w:rFonts w:ascii="Times New Roman" w:hAnsi="Times New Roman" w:cs="Times New Roman"/>
          <w:sz w:val="24"/>
          <w:szCs w:val="24"/>
        </w:rPr>
        <w:t>h cenných papierov (ďalej len</w:t>
      </w:r>
      <w:r w:rsidR="007529CD" w:rsidRPr="00E24925">
        <w:rPr>
          <w:rFonts w:ascii="Times New Roman" w:hAnsi="Times New Roman" w:cs="Times New Roman"/>
          <w:sz w:val="24"/>
          <w:szCs w:val="24"/>
        </w:rPr>
        <w:t xml:space="preserve"> </w:t>
      </w:r>
      <w:r w:rsidR="000F230C" w:rsidRPr="00E24925">
        <w:rPr>
          <w:rFonts w:ascii="Times New Roman" w:hAnsi="Times New Roman" w:cs="Times New Roman"/>
          <w:sz w:val="24"/>
          <w:szCs w:val="24"/>
        </w:rPr>
        <w:t>„z</w:t>
      </w:r>
      <w:r w:rsidRPr="00E24925">
        <w:rPr>
          <w:rFonts w:ascii="Times New Roman" w:hAnsi="Times New Roman" w:cs="Times New Roman"/>
          <w:sz w:val="24"/>
          <w:szCs w:val="24"/>
        </w:rPr>
        <w:t>mluva“) uzavretej medzi centrálnym depozitárom a majiteľom účtu, pričom sú neoddeliteľnou súčasťou zmluvy určujúcou časť jej obsahu.</w:t>
      </w:r>
    </w:p>
    <w:p w:rsidR="004B1838" w:rsidRPr="00E24925" w:rsidRDefault="00073EA2" w:rsidP="004B1838">
      <w:pPr>
        <w:pStyle w:val="Odsekzoznamu"/>
        <w:numPr>
          <w:ilvl w:val="0"/>
          <w:numId w:val="17"/>
        </w:numPr>
        <w:spacing w:line="240" w:lineRule="auto"/>
        <w:jc w:val="both"/>
        <w:rPr>
          <w:rFonts w:ascii="Times New Roman" w:hAnsi="Times New Roman" w:cs="Times New Roman"/>
          <w:b/>
          <w:sz w:val="24"/>
          <w:szCs w:val="24"/>
        </w:rPr>
      </w:pPr>
      <w:r w:rsidRPr="00E24925">
        <w:rPr>
          <w:rFonts w:ascii="Times New Roman" w:hAnsi="Times New Roman" w:cs="Times New Roman"/>
          <w:sz w:val="24"/>
          <w:szCs w:val="24"/>
        </w:rPr>
        <w:t>Obchodné podmienky upravujú práva a povinnosti centrálneho depozitára a majiteľa účtu v súvislosti so zriadením a vedením účtu majiteľa a poskytovaním ďalších služieb a úkonov pre majiteľa účtu centrálnym depozitárom na základe alebo v súvislosti so zmluvou.</w:t>
      </w:r>
      <w:r w:rsidR="007529CD" w:rsidRPr="00E24925">
        <w:rPr>
          <w:rFonts w:ascii="Times New Roman" w:hAnsi="Times New Roman" w:cs="Times New Roman"/>
          <w:sz w:val="24"/>
          <w:szCs w:val="24"/>
        </w:rPr>
        <w:t xml:space="preserve"> Obchodné podmienky sú záväzné aj pre osoby konajúce v mene majiteľa účtu</w:t>
      </w:r>
      <w:r w:rsidR="004B1838" w:rsidRPr="00E24925">
        <w:rPr>
          <w:rFonts w:ascii="Times New Roman" w:hAnsi="Times New Roman" w:cs="Times New Roman"/>
          <w:sz w:val="24"/>
          <w:szCs w:val="24"/>
        </w:rPr>
        <w:t>, alebo na jeho účet ak využívajú služby centrálneho depozitára.</w:t>
      </w:r>
      <w:r w:rsidR="007529CD" w:rsidRPr="00E24925">
        <w:rPr>
          <w:rFonts w:ascii="Times New Roman" w:hAnsi="Times New Roman" w:cs="Times New Roman"/>
          <w:sz w:val="24"/>
          <w:szCs w:val="24"/>
        </w:rPr>
        <w:t xml:space="preserve"> </w:t>
      </w:r>
    </w:p>
    <w:p w:rsidR="004B1838" w:rsidRPr="00E24925" w:rsidRDefault="004B1838" w:rsidP="004B1838">
      <w:pPr>
        <w:pStyle w:val="Odsekzoznamu"/>
        <w:numPr>
          <w:ilvl w:val="0"/>
          <w:numId w:val="17"/>
        </w:numPr>
        <w:spacing w:line="240" w:lineRule="auto"/>
        <w:jc w:val="both"/>
        <w:rPr>
          <w:rFonts w:ascii="Times New Roman" w:hAnsi="Times New Roman" w:cs="Times New Roman"/>
          <w:b/>
          <w:sz w:val="24"/>
          <w:szCs w:val="24"/>
        </w:rPr>
      </w:pPr>
      <w:r w:rsidRPr="00E24925">
        <w:rPr>
          <w:rFonts w:ascii="Times New Roman" w:hAnsi="Times New Roman" w:cs="Times New Roman"/>
          <w:sz w:val="24"/>
          <w:szCs w:val="24"/>
        </w:rPr>
        <w:t>Ak sa centrálny depozitár a majiteľ účtu nedohodnú inak, riadia sa vzťahy medzi nimi právnym poriadkom Slovenskej republiky.</w:t>
      </w:r>
    </w:p>
    <w:p w:rsidR="006A7DF0" w:rsidRPr="00E24925" w:rsidRDefault="000F230C" w:rsidP="006A7DF0">
      <w:pPr>
        <w:pStyle w:val="Odsekzoznamu"/>
        <w:numPr>
          <w:ilvl w:val="0"/>
          <w:numId w:val="17"/>
        </w:numPr>
        <w:spacing w:line="240" w:lineRule="auto"/>
        <w:jc w:val="both"/>
        <w:rPr>
          <w:rFonts w:ascii="Times New Roman" w:hAnsi="Times New Roman" w:cs="Times New Roman"/>
          <w:b/>
          <w:sz w:val="24"/>
          <w:szCs w:val="24"/>
        </w:rPr>
      </w:pPr>
      <w:r w:rsidRPr="00E24925">
        <w:rPr>
          <w:rFonts w:ascii="Times New Roman" w:hAnsi="Times New Roman" w:cs="Times New Roman"/>
          <w:sz w:val="24"/>
          <w:szCs w:val="24"/>
        </w:rPr>
        <w:t xml:space="preserve">Odchylné dojednania v zmluve majú prednosť pred ustanoveniami týchto obchodných podmienok. </w:t>
      </w:r>
      <w:r w:rsidR="004B1838" w:rsidRPr="00E24925">
        <w:rPr>
          <w:rFonts w:ascii="Times New Roman" w:hAnsi="Times New Roman" w:cs="Times New Roman"/>
          <w:sz w:val="24"/>
          <w:szCs w:val="24"/>
        </w:rPr>
        <w:t>Vybrané práva a povinnosti centrálneho depozitára a majiteľa účtu sú ďalej upravené v Prevádzkovom poriadku</w:t>
      </w:r>
      <w:r w:rsidR="0072563A">
        <w:rPr>
          <w:rFonts w:ascii="Times New Roman" w:hAnsi="Times New Roman" w:cs="Times New Roman"/>
          <w:sz w:val="24"/>
          <w:szCs w:val="24"/>
        </w:rPr>
        <w:t>.</w:t>
      </w:r>
      <w:r w:rsidR="004B1838" w:rsidRPr="00E24925">
        <w:rPr>
          <w:rFonts w:ascii="Times New Roman" w:hAnsi="Times New Roman" w:cs="Times New Roman"/>
          <w:sz w:val="24"/>
          <w:szCs w:val="24"/>
        </w:rPr>
        <w:t xml:space="preserve"> </w:t>
      </w:r>
      <w:r w:rsidRPr="00E24925">
        <w:rPr>
          <w:rFonts w:ascii="Times New Roman" w:hAnsi="Times New Roman" w:cs="Times New Roman"/>
          <w:sz w:val="24"/>
          <w:szCs w:val="24"/>
        </w:rPr>
        <w:t>Ustanovenia Prevádzkového poriadku majú prednosť pred ustanoveniami zmluvy a týchto obchodných podmienok. Ustanovenia zmluvy a týchto obchodných podmienok, ktoré sa v budúcnosti dostanú do rozporu s Prevádzkovým poriadkom v dôsledku jeho zmien, strácajú platnosť a účinnosť dňom právoplatnosti príslušnej zmeny Prevádzkového poriadku.</w:t>
      </w:r>
    </w:p>
    <w:p w:rsidR="00556653" w:rsidRPr="00556653" w:rsidRDefault="006B0A40" w:rsidP="00556653">
      <w:pPr>
        <w:pStyle w:val="Odsekzoznamu"/>
        <w:numPr>
          <w:ilvl w:val="0"/>
          <w:numId w:val="17"/>
        </w:numPr>
        <w:spacing w:line="240" w:lineRule="auto"/>
        <w:jc w:val="both"/>
        <w:rPr>
          <w:rFonts w:ascii="Times New Roman" w:hAnsi="Times New Roman" w:cs="Times New Roman"/>
          <w:b/>
          <w:sz w:val="24"/>
          <w:szCs w:val="24"/>
        </w:rPr>
      </w:pPr>
      <w:r w:rsidRPr="00E24925">
        <w:rPr>
          <w:rFonts w:ascii="Times New Roman" w:hAnsi="Times New Roman" w:cs="Times New Roman"/>
          <w:sz w:val="24"/>
          <w:szCs w:val="24"/>
        </w:rPr>
        <w:t xml:space="preserve">Majiteľ účtu súhlasí s tým, že tieto obchodné podmienky môže centrálny depozitár </w:t>
      </w:r>
      <w:r w:rsidR="008F4784">
        <w:rPr>
          <w:rFonts w:ascii="Times New Roman" w:hAnsi="Times New Roman" w:cs="Times New Roman"/>
          <w:sz w:val="24"/>
          <w:szCs w:val="24"/>
        </w:rPr>
        <w:t xml:space="preserve">z akéhokoľvek dôvodu </w:t>
      </w:r>
      <w:r w:rsidRPr="00E24925">
        <w:rPr>
          <w:rFonts w:ascii="Times New Roman" w:hAnsi="Times New Roman" w:cs="Times New Roman"/>
          <w:sz w:val="24"/>
          <w:szCs w:val="24"/>
        </w:rPr>
        <w:t>jednostranne meniť, pokiaľ sa majiteľ účtu nedohodne s cent</w:t>
      </w:r>
      <w:r w:rsidR="000F2925">
        <w:rPr>
          <w:rFonts w:ascii="Times New Roman" w:hAnsi="Times New Roman" w:cs="Times New Roman"/>
          <w:sz w:val="24"/>
          <w:szCs w:val="24"/>
        </w:rPr>
        <w:t>rálnym depozitárom písomne inak.</w:t>
      </w:r>
      <w:r w:rsidRPr="00E24925">
        <w:rPr>
          <w:rFonts w:ascii="Times New Roman" w:hAnsi="Times New Roman" w:cs="Times New Roman"/>
          <w:sz w:val="24"/>
          <w:szCs w:val="24"/>
        </w:rPr>
        <w:t xml:space="preserve"> </w:t>
      </w:r>
      <w:r w:rsidR="000F2925">
        <w:rPr>
          <w:rFonts w:ascii="Times New Roman" w:hAnsi="Times New Roman" w:cs="Times New Roman"/>
          <w:sz w:val="24"/>
          <w:szCs w:val="24"/>
        </w:rPr>
        <w:t>Nadobudnutím účinnosti</w:t>
      </w:r>
      <w:r w:rsidRPr="00E24925">
        <w:rPr>
          <w:rFonts w:ascii="Times New Roman" w:hAnsi="Times New Roman" w:cs="Times New Roman"/>
          <w:sz w:val="24"/>
          <w:szCs w:val="24"/>
        </w:rPr>
        <w:t xml:space="preserve"> nového znenia obchodných podmienok stráca predchádzajúce znenie obchodných podmienok platnosť </w:t>
      </w:r>
      <w:r w:rsidR="008F4784">
        <w:rPr>
          <w:rFonts w:ascii="Times New Roman" w:hAnsi="Times New Roman" w:cs="Times New Roman"/>
          <w:sz w:val="24"/>
          <w:szCs w:val="24"/>
        </w:rPr>
        <w:t xml:space="preserve">a účinnosť </w:t>
      </w:r>
      <w:r w:rsidRPr="00E24925">
        <w:rPr>
          <w:rFonts w:ascii="Times New Roman" w:hAnsi="Times New Roman" w:cs="Times New Roman"/>
          <w:sz w:val="24"/>
          <w:szCs w:val="24"/>
        </w:rPr>
        <w:t xml:space="preserve">a je v plnom rozsahu nahradené novým znením obchodných podmienok. </w:t>
      </w:r>
      <w:r w:rsidRPr="000F2925">
        <w:rPr>
          <w:rFonts w:ascii="Times New Roman" w:hAnsi="Times New Roman" w:cs="Times New Roman"/>
          <w:sz w:val="24"/>
          <w:szCs w:val="24"/>
        </w:rPr>
        <w:t xml:space="preserve">Majiteľ účtu výslovne a bezpodmienečne súhlasí s takýmto spôsobom vykonávania zmien obchodných podmienok. </w:t>
      </w:r>
      <w:r w:rsidR="000F2925">
        <w:rPr>
          <w:rFonts w:ascii="Times New Roman" w:hAnsi="Times New Roman" w:cs="Times New Roman"/>
          <w:sz w:val="24"/>
          <w:szCs w:val="24"/>
        </w:rPr>
        <w:t xml:space="preserve">Zmenu obchodným podmienok centrálny depozitár sprístupní vo svojom sídle a zverejní na webovom sídle </w:t>
      </w:r>
      <w:hyperlink r:id="rId8" w:history="1">
        <w:r w:rsidR="000F2925" w:rsidRPr="00027EC1">
          <w:rPr>
            <w:rStyle w:val="Hypertextovprepojenie"/>
            <w:rFonts w:ascii="Times New Roman" w:hAnsi="Times New Roman" w:cs="Times New Roman"/>
            <w:sz w:val="24"/>
            <w:szCs w:val="24"/>
          </w:rPr>
          <w:t>www.cdcp.sk</w:t>
        </w:r>
      </w:hyperlink>
      <w:r w:rsidR="000F2925">
        <w:rPr>
          <w:rFonts w:ascii="Times New Roman" w:hAnsi="Times New Roman" w:cs="Times New Roman"/>
          <w:sz w:val="24"/>
          <w:szCs w:val="24"/>
        </w:rPr>
        <w:t xml:space="preserve"> s určením ich platnosti a účinnosti, pričom zabezpečí takéto sprístupnenie a zverejnenie najme</w:t>
      </w:r>
      <w:r w:rsidR="0024770B">
        <w:rPr>
          <w:rFonts w:ascii="Times New Roman" w:hAnsi="Times New Roman" w:cs="Times New Roman"/>
          <w:sz w:val="24"/>
          <w:szCs w:val="24"/>
        </w:rPr>
        <w:t>nej 30 dní pred určeným dátumom účinnosti.</w:t>
      </w:r>
      <w:r w:rsidR="000F2925">
        <w:rPr>
          <w:rFonts w:ascii="Times New Roman" w:hAnsi="Times New Roman" w:cs="Times New Roman"/>
          <w:sz w:val="24"/>
          <w:szCs w:val="24"/>
        </w:rPr>
        <w:t xml:space="preserve"> </w:t>
      </w:r>
      <w:r w:rsidRPr="0024770B">
        <w:rPr>
          <w:rFonts w:ascii="Times New Roman" w:hAnsi="Times New Roman" w:cs="Times New Roman"/>
          <w:sz w:val="24"/>
          <w:szCs w:val="24"/>
        </w:rPr>
        <w:t xml:space="preserve">Ak majiteľ účtu nesúhlasí s novým znením obchodných podmienok, môže zmluvu </w:t>
      </w:r>
      <w:r w:rsidR="0024770B">
        <w:rPr>
          <w:rFonts w:ascii="Times New Roman" w:hAnsi="Times New Roman" w:cs="Times New Roman"/>
          <w:sz w:val="24"/>
          <w:szCs w:val="24"/>
        </w:rPr>
        <w:t>be</w:t>
      </w:r>
      <w:r w:rsidR="00BC338F">
        <w:rPr>
          <w:rFonts w:ascii="Times New Roman" w:hAnsi="Times New Roman" w:cs="Times New Roman"/>
          <w:sz w:val="24"/>
          <w:szCs w:val="24"/>
        </w:rPr>
        <w:t xml:space="preserve">zodkladne </w:t>
      </w:r>
      <w:r w:rsidRPr="0024770B">
        <w:rPr>
          <w:rFonts w:ascii="Times New Roman" w:hAnsi="Times New Roman" w:cs="Times New Roman"/>
          <w:sz w:val="24"/>
          <w:szCs w:val="24"/>
        </w:rPr>
        <w:t xml:space="preserve">ukončiť </w:t>
      </w:r>
      <w:r w:rsidR="00BC338F">
        <w:rPr>
          <w:rFonts w:ascii="Times New Roman" w:hAnsi="Times New Roman" w:cs="Times New Roman"/>
          <w:sz w:val="24"/>
          <w:szCs w:val="24"/>
        </w:rPr>
        <w:t xml:space="preserve">výpoveďou v lehote do nadobudnutia </w:t>
      </w:r>
      <w:r w:rsidR="00BC338F">
        <w:rPr>
          <w:rFonts w:ascii="Times New Roman" w:hAnsi="Times New Roman" w:cs="Times New Roman"/>
          <w:sz w:val="24"/>
          <w:szCs w:val="24"/>
        </w:rPr>
        <w:lastRenderedPageBreak/>
        <w:t>účinnosti no</w:t>
      </w:r>
      <w:r w:rsidR="008F4784">
        <w:rPr>
          <w:rFonts w:ascii="Times New Roman" w:hAnsi="Times New Roman" w:cs="Times New Roman"/>
          <w:sz w:val="24"/>
          <w:szCs w:val="24"/>
        </w:rPr>
        <w:t>vého znenia</w:t>
      </w:r>
      <w:r w:rsidR="00BC338F">
        <w:rPr>
          <w:rFonts w:ascii="Times New Roman" w:hAnsi="Times New Roman" w:cs="Times New Roman"/>
          <w:sz w:val="24"/>
          <w:szCs w:val="24"/>
        </w:rPr>
        <w:t xml:space="preserve"> Obchodných podmienok, pričom súčasne na jeho účte nemôžu byť </w:t>
      </w:r>
      <w:r w:rsidR="008F4784">
        <w:rPr>
          <w:rFonts w:ascii="Times New Roman" w:hAnsi="Times New Roman" w:cs="Times New Roman"/>
          <w:sz w:val="24"/>
          <w:szCs w:val="24"/>
        </w:rPr>
        <w:t xml:space="preserve">evidované </w:t>
      </w:r>
      <w:r w:rsidR="00BC338F">
        <w:rPr>
          <w:rFonts w:ascii="Times New Roman" w:hAnsi="Times New Roman" w:cs="Times New Roman"/>
          <w:sz w:val="24"/>
          <w:szCs w:val="24"/>
        </w:rPr>
        <w:t xml:space="preserve">žiadne údaje o cenných papieroch. </w:t>
      </w:r>
    </w:p>
    <w:p w:rsidR="00556653" w:rsidRPr="0024770B" w:rsidRDefault="00556653" w:rsidP="00556653">
      <w:pPr>
        <w:pStyle w:val="Odsekzoznamu"/>
        <w:spacing w:line="240" w:lineRule="auto"/>
        <w:ind w:left="360"/>
        <w:jc w:val="both"/>
        <w:rPr>
          <w:rFonts w:ascii="Times New Roman" w:hAnsi="Times New Roman" w:cs="Times New Roman"/>
          <w:b/>
          <w:sz w:val="24"/>
          <w:szCs w:val="24"/>
        </w:rPr>
      </w:pPr>
    </w:p>
    <w:p w:rsidR="00365B19" w:rsidRPr="00E24925" w:rsidRDefault="006B0A40" w:rsidP="00365B19">
      <w:pPr>
        <w:pStyle w:val="Odsekzoznamu"/>
        <w:numPr>
          <w:ilvl w:val="0"/>
          <w:numId w:val="17"/>
        </w:numPr>
        <w:spacing w:after="0" w:line="240" w:lineRule="auto"/>
        <w:jc w:val="both"/>
        <w:rPr>
          <w:rFonts w:ascii="Times New Roman" w:hAnsi="Times New Roman" w:cs="Times New Roman"/>
          <w:b/>
          <w:sz w:val="24"/>
          <w:szCs w:val="24"/>
        </w:rPr>
      </w:pPr>
      <w:r w:rsidRPr="00E24925">
        <w:rPr>
          <w:rFonts w:ascii="Times New Roman" w:hAnsi="Times New Roman" w:cs="Times New Roman"/>
          <w:sz w:val="24"/>
          <w:szCs w:val="24"/>
        </w:rPr>
        <w:t>Predmetom zmluvy je v súlade so zákonom, Prevádzkovým poriadkom centrálneho depozitára v platnom znení (ďalej len „Prevádzkový poriadok“) a za podmienok dohodnutých v zmluve a týchto obchodných podmienkach:</w:t>
      </w:r>
    </w:p>
    <w:p w:rsidR="00365B19" w:rsidRPr="00E24925" w:rsidRDefault="00365B19" w:rsidP="00365B19">
      <w:pPr>
        <w:pStyle w:val="Zkladntext"/>
        <w:numPr>
          <w:ilvl w:val="0"/>
          <w:numId w:val="19"/>
        </w:numPr>
        <w:rPr>
          <w:rFonts w:ascii="Times New Roman" w:hAnsi="Times New Roman" w:cs="Times New Roman"/>
        </w:rPr>
      </w:pPr>
      <w:r w:rsidRPr="00E24925">
        <w:rPr>
          <w:rFonts w:ascii="Times New Roman" w:hAnsi="Times New Roman" w:cs="Times New Roman"/>
        </w:rPr>
        <w:t>zriadenie účtu majiteľa zaknihovaných cenných papierov (ďalej len „účet majiteľa“) a jeho ďalšie vedenie centrálnym depozitárom pre majiteľa účtu, a/alebo</w:t>
      </w:r>
    </w:p>
    <w:p w:rsidR="00365B19" w:rsidRPr="00E24925" w:rsidRDefault="00365B19" w:rsidP="00365B19">
      <w:pPr>
        <w:pStyle w:val="Zkladntext"/>
        <w:numPr>
          <w:ilvl w:val="0"/>
          <w:numId w:val="19"/>
        </w:numPr>
        <w:rPr>
          <w:rFonts w:ascii="Times New Roman" w:hAnsi="Times New Roman" w:cs="Times New Roman"/>
        </w:rPr>
      </w:pPr>
      <w:r w:rsidRPr="00E24925">
        <w:rPr>
          <w:rFonts w:ascii="Times New Roman" w:hAnsi="Times New Roman" w:cs="Times New Roman"/>
        </w:rPr>
        <w:t>ďalšie vedenie účtu majiteľa centrálnym depozitárom pre majiteľa účtu, ak centrálny depozitár už zriadil majiteľovi účet majiteľa pred podpisom tejto zmluvy v zmysle § 164a zákona; v takom prípade táto zmluva vrátane obchodných podmienok nahrádza v plnom rozsahu právny vzťah medzi centrálnym depozitárom a majiteľom účtu vzniknutý zriadením účtu majiteľa v zmysle § 164a zákona; a/alebo</w:t>
      </w:r>
    </w:p>
    <w:p w:rsidR="00365B19" w:rsidRPr="00E24925" w:rsidRDefault="00365B19" w:rsidP="00365B19">
      <w:pPr>
        <w:pStyle w:val="Zkladntext"/>
        <w:numPr>
          <w:ilvl w:val="0"/>
          <w:numId w:val="19"/>
        </w:numPr>
        <w:rPr>
          <w:rFonts w:ascii="Times New Roman" w:hAnsi="Times New Roman" w:cs="Times New Roman"/>
        </w:rPr>
      </w:pPr>
      <w:r w:rsidRPr="00E24925">
        <w:rPr>
          <w:rFonts w:ascii="Times New Roman" w:hAnsi="Times New Roman" w:cs="Times New Roman"/>
        </w:rPr>
        <w:t>ďalšie vedenie účtu majiteľa centrálnym depozitárom pre majiteľa účtu, ak centrálny depozitár už zriadil a vedie majiteľovi účet majiteľa v zmysle § 105 zákona na základe skôr uzavretej Zmluvy o zriadení a vedení účtu majiteľa zaknihovaných cenných papierov, ktorej obsah sa na základe dohody zmluvných strán nahrádza v plnom rozsahu touto zmluvou vrátane jej obchodných podmienok; a/alebo</w:t>
      </w:r>
    </w:p>
    <w:p w:rsidR="00365B19" w:rsidRPr="00E24925" w:rsidRDefault="00365B19" w:rsidP="00365B19">
      <w:pPr>
        <w:pStyle w:val="Zkladntext"/>
        <w:numPr>
          <w:ilvl w:val="0"/>
          <w:numId w:val="19"/>
        </w:numPr>
        <w:rPr>
          <w:rFonts w:ascii="Times New Roman" w:hAnsi="Times New Roman" w:cs="Times New Roman"/>
        </w:rPr>
      </w:pPr>
      <w:r w:rsidRPr="00E24925">
        <w:rPr>
          <w:rFonts w:ascii="Times New Roman" w:hAnsi="Times New Roman" w:cs="Times New Roman"/>
        </w:rPr>
        <w:t>poskytovanie ďalších služieb a úkonov centrálnym depozitárom pre majiteľa účtu na základe alebo v súvislosti so zmluvou a Prevádzkovým poriadkom.</w:t>
      </w:r>
    </w:p>
    <w:p w:rsidR="006B0A40" w:rsidRPr="00E24925" w:rsidRDefault="006B0A40" w:rsidP="00365B19">
      <w:pPr>
        <w:pStyle w:val="Odsekzoznamu"/>
        <w:numPr>
          <w:ilvl w:val="0"/>
          <w:numId w:val="17"/>
        </w:numPr>
        <w:spacing w:after="0" w:line="240" w:lineRule="auto"/>
        <w:jc w:val="both"/>
        <w:rPr>
          <w:rFonts w:ascii="Times New Roman" w:hAnsi="Times New Roman" w:cs="Times New Roman"/>
          <w:b/>
          <w:sz w:val="24"/>
          <w:szCs w:val="24"/>
        </w:rPr>
      </w:pPr>
      <w:r w:rsidRPr="00E24925">
        <w:rPr>
          <w:rFonts w:ascii="Times New Roman" w:hAnsi="Times New Roman" w:cs="Times New Roman"/>
          <w:sz w:val="24"/>
          <w:szCs w:val="24"/>
        </w:rPr>
        <w:t>Majiteľ účtu vyhlasuje, že sa oboznámil s ustanoveniami Prevádzkového poriadku v platnom znení, jeho vykonávacími predpismi, Cenníkom Centrálneho depozitára cenných papierov SR, a.s. (ďalej len „cenník“) a týmito obchodnými podmienkami, a súčasne sa zaväzuje dodržiavať ich ustanovenia.</w:t>
      </w:r>
    </w:p>
    <w:p w:rsidR="006B0A40" w:rsidRPr="0054588B" w:rsidRDefault="006B0A40" w:rsidP="006B0A40">
      <w:pPr>
        <w:pStyle w:val="Zkladntext"/>
        <w:ind w:left="705" w:hanging="563"/>
        <w:rPr>
          <w:rFonts w:ascii="Times New Roman" w:hAnsi="Times New Roman" w:cs="Times New Roman"/>
          <w:b/>
        </w:rPr>
      </w:pPr>
    </w:p>
    <w:p w:rsidR="000F230C" w:rsidRPr="0054588B" w:rsidRDefault="0054588B" w:rsidP="00073EA2">
      <w:pPr>
        <w:spacing w:after="0" w:line="240" w:lineRule="auto"/>
        <w:ind w:left="705" w:hanging="705"/>
        <w:jc w:val="both"/>
        <w:rPr>
          <w:rFonts w:ascii="Times New Roman" w:hAnsi="Times New Roman" w:cs="Times New Roman"/>
          <w:b/>
          <w:sz w:val="24"/>
          <w:szCs w:val="24"/>
        </w:rPr>
      </w:pPr>
      <w:r w:rsidRPr="0054588B">
        <w:rPr>
          <w:rFonts w:ascii="Times New Roman" w:hAnsi="Times New Roman" w:cs="Times New Roman"/>
          <w:b/>
          <w:sz w:val="24"/>
          <w:szCs w:val="24"/>
        </w:rPr>
        <w:t>2. VYKONANIE ZÁPISOV V EVIDENCII CENTRÁLNAHO DEPOZITÁRA</w:t>
      </w:r>
    </w:p>
    <w:p w:rsidR="0054588B" w:rsidRPr="0054588B" w:rsidRDefault="0054588B" w:rsidP="00073EA2">
      <w:pPr>
        <w:spacing w:after="0" w:line="240" w:lineRule="auto"/>
        <w:ind w:left="705" w:hanging="705"/>
        <w:jc w:val="both"/>
        <w:rPr>
          <w:rFonts w:ascii="Times New Roman" w:hAnsi="Times New Roman" w:cs="Times New Roman"/>
          <w:sz w:val="24"/>
          <w:szCs w:val="24"/>
        </w:rPr>
      </w:pPr>
    </w:p>
    <w:p w:rsidR="0054588B" w:rsidRPr="00D4015F" w:rsidRDefault="0054588B" w:rsidP="00D4015F">
      <w:pPr>
        <w:pStyle w:val="Odsekzoznamu"/>
        <w:numPr>
          <w:ilvl w:val="0"/>
          <w:numId w:val="20"/>
        </w:numPr>
        <w:tabs>
          <w:tab w:val="left" w:pos="142"/>
        </w:tabs>
        <w:spacing w:after="0" w:line="240" w:lineRule="auto"/>
        <w:jc w:val="both"/>
        <w:rPr>
          <w:rFonts w:ascii="Times New Roman" w:hAnsi="Times New Roman" w:cs="Times New Roman"/>
          <w:sz w:val="24"/>
          <w:szCs w:val="24"/>
        </w:rPr>
      </w:pPr>
      <w:r w:rsidRPr="00D4015F">
        <w:rPr>
          <w:rFonts w:ascii="Times New Roman" w:hAnsi="Times New Roman" w:cs="Times New Roman"/>
          <w:color w:val="000000"/>
          <w:sz w:val="24"/>
          <w:szCs w:val="24"/>
        </w:rPr>
        <w:t xml:space="preserve">Centrálny </w:t>
      </w:r>
      <w:r w:rsidRPr="00D4015F">
        <w:rPr>
          <w:rFonts w:ascii="Times New Roman" w:hAnsi="Times New Roman" w:cs="Times New Roman"/>
          <w:sz w:val="24"/>
          <w:szCs w:val="24"/>
        </w:rPr>
        <w:t>depozitár sa zaväzuje zriadiť majiteľovi účtu účet majiteľa (ak mu ho už nezriadil pred podpisom zmluvy alebo ak majiteľ požaduje zriadenie ďalšieho účtu majiteľa u centrálneho depozitára) bez zbytočného odkladu po podpísaní zmluvy obidvoma zmluvnými stranami, a to na základe údajov uvedených v žiadosti o zriadenie účtu majiteľa, ktorá tvorí neoddeliteľnú súčasť zmluvy.. Centrálny depozitár pri zriadení účtu majiteľa:</w:t>
      </w:r>
    </w:p>
    <w:p w:rsidR="0054588B" w:rsidRPr="0054588B" w:rsidRDefault="0054588B" w:rsidP="0054588B">
      <w:pPr>
        <w:pStyle w:val="Odsekzoznamu"/>
        <w:numPr>
          <w:ilvl w:val="0"/>
          <w:numId w:val="9"/>
        </w:numPr>
        <w:tabs>
          <w:tab w:val="left" w:pos="142"/>
        </w:tabs>
        <w:spacing w:after="0" w:line="240" w:lineRule="auto"/>
        <w:jc w:val="both"/>
        <w:rPr>
          <w:rFonts w:ascii="Times New Roman" w:hAnsi="Times New Roman" w:cs="Times New Roman"/>
          <w:sz w:val="24"/>
          <w:szCs w:val="24"/>
        </w:rPr>
      </w:pPr>
      <w:r w:rsidRPr="0054588B">
        <w:rPr>
          <w:rFonts w:ascii="Times New Roman" w:hAnsi="Times New Roman" w:cs="Times New Roman"/>
          <w:sz w:val="24"/>
          <w:szCs w:val="24"/>
        </w:rPr>
        <w:t>pridelí majiteľovi účtu identifikátor - registračné číslo účtu majiteľa,</w:t>
      </w:r>
    </w:p>
    <w:p w:rsidR="0054588B" w:rsidRPr="0054588B" w:rsidRDefault="0054588B" w:rsidP="0054588B">
      <w:pPr>
        <w:pStyle w:val="Odsekzoznamu"/>
        <w:numPr>
          <w:ilvl w:val="0"/>
          <w:numId w:val="9"/>
        </w:numPr>
        <w:tabs>
          <w:tab w:val="left" w:pos="142"/>
        </w:tabs>
        <w:spacing w:after="0" w:line="240" w:lineRule="auto"/>
        <w:jc w:val="both"/>
        <w:rPr>
          <w:rFonts w:ascii="Times New Roman" w:hAnsi="Times New Roman" w:cs="Times New Roman"/>
          <w:sz w:val="24"/>
          <w:szCs w:val="24"/>
        </w:rPr>
      </w:pPr>
      <w:r w:rsidRPr="0054588B">
        <w:rPr>
          <w:rFonts w:ascii="Times New Roman" w:hAnsi="Times New Roman" w:cs="Times New Roman"/>
          <w:sz w:val="24"/>
          <w:szCs w:val="24"/>
        </w:rPr>
        <w:t>pridelí majiteľovi účtu identifikátor - registračné číslo typu A,</w:t>
      </w:r>
    </w:p>
    <w:p w:rsidR="0054588B" w:rsidRPr="0054588B" w:rsidRDefault="0054588B" w:rsidP="0054588B">
      <w:pPr>
        <w:pStyle w:val="Odsekzoznamu"/>
        <w:numPr>
          <w:ilvl w:val="0"/>
          <w:numId w:val="9"/>
        </w:numPr>
        <w:tabs>
          <w:tab w:val="left" w:pos="142"/>
        </w:tabs>
        <w:spacing w:after="0" w:line="240" w:lineRule="auto"/>
        <w:jc w:val="both"/>
        <w:rPr>
          <w:rFonts w:ascii="Times New Roman" w:hAnsi="Times New Roman" w:cs="Times New Roman"/>
          <w:sz w:val="24"/>
          <w:szCs w:val="24"/>
        </w:rPr>
      </w:pPr>
      <w:r w:rsidRPr="0054588B">
        <w:rPr>
          <w:rFonts w:ascii="Times New Roman" w:hAnsi="Times New Roman" w:cs="Times New Roman"/>
          <w:sz w:val="24"/>
          <w:szCs w:val="24"/>
        </w:rPr>
        <w:t>zapíše základné údaje o osobe majiteľa účtu do evidencie vedenej</w:t>
      </w:r>
      <w:r w:rsidRPr="0054588B">
        <w:rPr>
          <w:rFonts w:ascii="Times New Roman" w:hAnsi="Times New Roman" w:cs="Times New Roman"/>
          <w:color w:val="000000"/>
          <w:sz w:val="24"/>
          <w:szCs w:val="24"/>
        </w:rPr>
        <w:t xml:space="preserve"> centrálnym depozitárom. </w:t>
      </w:r>
    </w:p>
    <w:p w:rsidR="00D4015F" w:rsidRDefault="0054588B" w:rsidP="0054588B">
      <w:pPr>
        <w:pStyle w:val="Odsekzoznamu"/>
        <w:numPr>
          <w:ilvl w:val="0"/>
          <w:numId w:val="20"/>
        </w:numPr>
        <w:spacing w:after="0" w:line="240" w:lineRule="auto"/>
        <w:jc w:val="both"/>
        <w:rPr>
          <w:rFonts w:ascii="Times New Roman" w:hAnsi="Times New Roman" w:cs="Times New Roman"/>
          <w:color w:val="000000"/>
          <w:sz w:val="24"/>
          <w:szCs w:val="24"/>
        </w:rPr>
      </w:pPr>
      <w:r w:rsidRPr="00D4015F">
        <w:rPr>
          <w:rFonts w:ascii="Times New Roman" w:hAnsi="Times New Roman" w:cs="Times New Roman"/>
          <w:color w:val="000000"/>
          <w:sz w:val="24"/>
          <w:szCs w:val="24"/>
        </w:rPr>
        <w:t>Zmenu údajov zaregistrovaných na účte majiteľa vykoná centrálny depozitár v súlade s Prevádzkovým poriadkom na základe žiadosti majiteľa účtu doručenej osobne alebo poštou do sídla centrálneho depozitára. K žiadosti musia byť priložené prvopisy alebo úradne overené kópie dokladov preukazujúcich zmenu zaregistrovaných údajov v súlade s Prevádzkovým poriadkom.</w:t>
      </w:r>
    </w:p>
    <w:p w:rsidR="0054588B" w:rsidRPr="00D4015F" w:rsidRDefault="0054588B" w:rsidP="0054588B">
      <w:pPr>
        <w:pStyle w:val="Odsekzoznamu"/>
        <w:numPr>
          <w:ilvl w:val="0"/>
          <w:numId w:val="20"/>
        </w:numPr>
        <w:spacing w:after="0" w:line="240" w:lineRule="auto"/>
        <w:jc w:val="both"/>
        <w:rPr>
          <w:rFonts w:ascii="Times New Roman" w:hAnsi="Times New Roman" w:cs="Times New Roman"/>
          <w:color w:val="000000"/>
          <w:sz w:val="24"/>
          <w:szCs w:val="24"/>
        </w:rPr>
      </w:pPr>
      <w:r w:rsidRPr="00D4015F">
        <w:rPr>
          <w:rFonts w:ascii="Times New Roman" w:hAnsi="Times New Roman" w:cs="Times New Roman"/>
          <w:color w:val="000000"/>
          <w:sz w:val="24"/>
          <w:szCs w:val="24"/>
        </w:rPr>
        <w:t>Postup pri zrušení účtu majiteľa je upravený v Prevádzkovom poriadku.</w:t>
      </w:r>
    </w:p>
    <w:p w:rsidR="0054588B" w:rsidRPr="00F14DA4" w:rsidRDefault="0054588B" w:rsidP="0054588B">
      <w:pPr>
        <w:spacing w:after="0" w:line="240" w:lineRule="auto"/>
        <w:jc w:val="both"/>
        <w:rPr>
          <w:rFonts w:ascii="Times New Roman" w:hAnsi="Times New Roman" w:cs="Times New Roman"/>
          <w:b/>
          <w:color w:val="000000"/>
          <w:sz w:val="24"/>
          <w:szCs w:val="24"/>
        </w:rPr>
      </w:pPr>
    </w:p>
    <w:p w:rsidR="007A040C" w:rsidRDefault="007A040C" w:rsidP="0054588B">
      <w:pPr>
        <w:spacing w:after="0" w:line="240" w:lineRule="auto"/>
        <w:jc w:val="both"/>
        <w:rPr>
          <w:rFonts w:ascii="Times New Roman" w:hAnsi="Times New Roman" w:cs="Times New Roman"/>
          <w:b/>
          <w:color w:val="000000"/>
          <w:sz w:val="24"/>
          <w:szCs w:val="24"/>
        </w:rPr>
      </w:pPr>
    </w:p>
    <w:p w:rsidR="007A040C" w:rsidRDefault="007A040C" w:rsidP="0054588B">
      <w:pPr>
        <w:spacing w:after="0" w:line="240" w:lineRule="auto"/>
        <w:jc w:val="both"/>
        <w:rPr>
          <w:rFonts w:ascii="Times New Roman" w:hAnsi="Times New Roman" w:cs="Times New Roman"/>
          <w:b/>
          <w:color w:val="000000"/>
          <w:sz w:val="24"/>
          <w:szCs w:val="24"/>
        </w:rPr>
      </w:pPr>
    </w:p>
    <w:p w:rsidR="007A040C" w:rsidRDefault="007A040C" w:rsidP="0054588B">
      <w:pPr>
        <w:spacing w:after="0" w:line="240" w:lineRule="auto"/>
        <w:jc w:val="both"/>
        <w:rPr>
          <w:rFonts w:ascii="Times New Roman" w:hAnsi="Times New Roman" w:cs="Times New Roman"/>
          <w:b/>
          <w:color w:val="000000"/>
          <w:sz w:val="24"/>
          <w:szCs w:val="24"/>
        </w:rPr>
      </w:pPr>
    </w:p>
    <w:p w:rsidR="0054588B" w:rsidRPr="00F14DA4" w:rsidRDefault="00F14DA4" w:rsidP="0054588B">
      <w:pPr>
        <w:spacing w:after="0" w:line="240" w:lineRule="auto"/>
        <w:jc w:val="both"/>
        <w:rPr>
          <w:rFonts w:ascii="Times New Roman" w:hAnsi="Times New Roman" w:cs="Times New Roman"/>
          <w:b/>
          <w:color w:val="000000"/>
          <w:sz w:val="24"/>
          <w:szCs w:val="24"/>
        </w:rPr>
      </w:pPr>
      <w:r w:rsidRPr="00F14DA4">
        <w:rPr>
          <w:rFonts w:ascii="Times New Roman" w:hAnsi="Times New Roman" w:cs="Times New Roman"/>
          <w:b/>
          <w:color w:val="000000"/>
          <w:sz w:val="24"/>
          <w:szCs w:val="24"/>
        </w:rPr>
        <w:t>3. PRÁVA A POVINNOSTI ZMLUVNÝCH STRÁN</w:t>
      </w:r>
    </w:p>
    <w:p w:rsidR="00556653" w:rsidRDefault="00556653" w:rsidP="00556653">
      <w:pPr>
        <w:rPr>
          <w:color w:val="595959" w:themeColor="text1" w:themeTint="A6"/>
          <w:sz w:val="16"/>
          <w:szCs w:val="16"/>
        </w:rPr>
      </w:pPr>
    </w:p>
    <w:p w:rsidR="00D4015F" w:rsidRDefault="00F14DA4" w:rsidP="00D4015F">
      <w:pPr>
        <w:pStyle w:val="Odsekzoznamu"/>
        <w:numPr>
          <w:ilvl w:val="0"/>
          <w:numId w:val="21"/>
        </w:numPr>
        <w:spacing w:after="0" w:line="240" w:lineRule="auto"/>
        <w:jc w:val="both"/>
        <w:rPr>
          <w:rFonts w:ascii="Times New Roman" w:hAnsi="Times New Roman" w:cs="Times New Roman"/>
          <w:sz w:val="24"/>
          <w:szCs w:val="24"/>
        </w:rPr>
      </w:pPr>
      <w:r w:rsidRPr="00D4015F">
        <w:rPr>
          <w:rFonts w:ascii="Times New Roman" w:hAnsi="Times New Roman" w:cs="Times New Roman"/>
          <w:sz w:val="24"/>
          <w:szCs w:val="24"/>
          <w:lang w:eastAsia="sk-SK"/>
        </w:rPr>
        <w:t>Majiteľ účtu je povinný doručiť príkazy a žiadosti na služby centrálneho depozitára, vzťahujúce sa na účet majiteľa, ako aj na cenné papiere na ňom evidované, v súlade s Prevádzkovým poriadkom</w:t>
      </w:r>
      <w:r w:rsidRPr="00D4015F">
        <w:rPr>
          <w:rFonts w:ascii="Times New Roman" w:hAnsi="Times New Roman" w:cs="Times New Roman"/>
          <w:sz w:val="24"/>
          <w:szCs w:val="24"/>
        </w:rPr>
        <w:t>.</w:t>
      </w:r>
    </w:p>
    <w:p w:rsidR="00D4015F" w:rsidRDefault="00621F5B" w:rsidP="00D4015F">
      <w:pPr>
        <w:pStyle w:val="Odsekzoznamu"/>
        <w:numPr>
          <w:ilvl w:val="0"/>
          <w:numId w:val="21"/>
        </w:numPr>
        <w:spacing w:after="0" w:line="240" w:lineRule="auto"/>
        <w:jc w:val="both"/>
        <w:rPr>
          <w:rFonts w:ascii="Times New Roman" w:hAnsi="Times New Roman" w:cs="Times New Roman"/>
          <w:sz w:val="24"/>
          <w:szCs w:val="24"/>
        </w:rPr>
      </w:pPr>
      <w:r w:rsidRPr="00D4015F">
        <w:rPr>
          <w:rFonts w:ascii="Times New Roman" w:hAnsi="Times New Roman" w:cs="Times New Roman"/>
          <w:color w:val="000000"/>
          <w:sz w:val="24"/>
          <w:szCs w:val="24"/>
        </w:rPr>
        <w:t xml:space="preserve">Centrálny depozitár poskytuje služby a vykonáva úkony </w:t>
      </w:r>
      <w:r w:rsidRPr="00D4015F">
        <w:rPr>
          <w:rFonts w:ascii="Times New Roman" w:hAnsi="Times New Roman" w:cs="Times New Roman"/>
          <w:sz w:val="24"/>
          <w:szCs w:val="24"/>
        </w:rPr>
        <w:t>pre majiteľa účtu na základe alebo v súvislosti so zmluvou v súlade so zákonom a </w:t>
      </w:r>
      <w:r w:rsidR="008B0D89" w:rsidRPr="00D4015F">
        <w:rPr>
          <w:rFonts w:ascii="Times New Roman" w:hAnsi="Times New Roman" w:cs="Times New Roman"/>
          <w:sz w:val="24"/>
          <w:szCs w:val="24"/>
        </w:rPr>
        <w:t>P</w:t>
      </w:r>
      <w:r w:rsidRPr="00D4015F">
        <w:rPr>
          <w:rFonts w:ascii="Times New Roman" w:hAnsi="Times New Roman" w:cs="Times New Roman"/>
          <w:sz w:val="24"/>
          <w:szCs w:val="24"/>
        </w:rPr>
        <w:t>revádzkovým poriadkom.</w:t>
      </w:r>
    </w:p>
    <w:p w:rsidR="00D4015F" w:rsidRDefault="00F14DA4" w:rsidP="00D4015F">
      <w:pPr>
        <w:pStyle w:val="Odsekzoznamu"/>
        <w:numPr>
          <w:ilvl w:val="0"/>
          <w:numId w:val="21"/>
        </w:numPr>
        <w:spacing w:after="0" w:line="240" w:lineRule="auto"/>
        <w:jc w:val="both"/>
        <w:rPr>
          <w:rFonts w:ascii="Times New Roman" w:hAnsi="Times New Roman" w:cs="Times New Roman"/>
          <w:sz w:val="24"/>
          <w:szCs w:val="24"/>
        </w:rPr>
      </w:pPr>
      <w:r w:rsidRPr="00D4015F">
        <w:rPr>
          <w:rFonts w:ascii="Times New Roman" w:hAnsi="Times New Roman" w:cs="Times New Roman"/>
          <w:sz w:val="24"/>
          <w:szCs w:val="24"/>
          <w:lang w:eastAsia="sk-SK"/>
        </w:rPr>
        <w:t>Centrálny depozitár odovzdáva výsledky služieb, spracované na základe žiadosti alebo príkazu v zmysle predchádzajúceho bodu, v súlade s Prevádzkovým poriadkom</w:t>
      </w:r>
      <w:r w:rsidRPr="00D4015F">
        <w:rPr>
          <w:rFonts w:ascii="Times New Roman" w:hAnsi="Times New Roman" w:cs="Times New Roman"/>
          <w:sz w:val="24"/>
          <w:szCs w:val="24"/>
        </w:rPr>
        <w:t>.</w:t>
      </w:r>
    </w:p>
    <w:p w:rsidR="00D4015F" w:rsidRDefault="00F14DA4" w:rsidP="00F14DA4">
      <w:pPr>
        <w:pStyle w:val="Odsekzoznamu"/>
        <w:numPr>
          <w:ilvl w:val="0"/>
          <w:numId w:val="21"/>
        </w:numPr>
        <w:spacing w:after="0" w:line="240" w:lineRule="auto"/>
        <w:jc w:val="both"/>
        <w:rPr>
          <w:rFonts w:ascii="Times New Roman" w:hAnsi="Times New Roman" w:cs="Times New Roman"/>
          <w:sz w:val="24"/>
          <w:szCs w:val="24"/>
        </w:rPr>
      </w:pPr>
      <w:r w:rsidRPr="00D4015F">
        <w:rPr>
          <w:rFonts w:ascii="Times New Roman" w:hAnsi="Times New Roman" w:cs="Times New Roman"/>
          <w:sz w:val="24"/>
          <w:szCs w:val="24"/>
        </w:rPr>
        <w:t>Centrálny depozitár sa zaväzuje odovzdať majiteľovi účtu výpis z jeho účtu majiteľa cenných papierov vždy po tom, čo vykoná účtovný zápis v prospech alebo na ťarchu tohto účtu, ak nie je dohodnuté v tejto zmluve inak</w:t>
      </w:r>
      <w:r w:rsidR="008B0D89" w:rsidRPr="00D4015F">
        <w:rPr>
          <w:rFonts w:ascii="Times New Roman" w:hAnsi="Times New Roman" w:cs="Times New Roman"/>
          <w:sz w:val="24"/>
          <w:szCs w:val="24"/>
        </w:rPr>
        <w:t>, alebo ak Prevádzkový poriadok a zákon nestanovuje inak</w:t>
      </w:r>
      <w:r w:rsidRPr="00D4015F">
        <w:rPr>
          <w:rFonts w:ascii="Times New Roman" w:hAnsi="Times New Roman" w:cs="Times New Roman"/>
          <w:sz w:val="24"/>
          <w:szCs w:val="24"/>
        </w:rPr>
        <w:t xml:space="preserve"> (ak má majiteľ účtu záujem dohodnúť sa inak, musí sa písomne obrátiť so svojím návrhom na centrálneho depozitára).</w:t>
      </w:r>
    </w:p>
    <w:p w:rsidR="00D4015F" w:rsidRDefault="00F14DA4" w:rsidP="00D4015F">
      <w:pPr>
        <w:pStyle w:val="Odsekzoznamu"/>
        <w:numPr>
          <w:ilvl w:val="0"/>
          <w:numId w:val="21"/>
        </w:numPr>
        <w:spacing w:after="0" w:line="240" w:lineRule="auto"/>
        <w:jc w:val="both"/>
        <w:rPr>
          <w:rFonts w:ascii="Times New Roman" w:hAnsi="Times New Roman" w:cs="Times New Roman"/>
          <w:sz w:val="24"/>
          <w:szCs w:val="24"/>
        </w:rPr>
      </w:pPr>
      <w:r w:rsidRPr="00D4015F">
        <w:rPr>
          <w:rFonts w:ascii="Times New Roman" w:hAnsi="Times New Roman" w:cs="Times New Roman"/>
          <w:sz w:val="24"/>
          <w:szCs w:val="24"/>
        </w:rPr>
        <w:t>Majiteľ účtu sa zaväzuje v lehote 15 pracovných dní:</w:t>
      </w:r>
    </w:p>
    <w:p w:rsidR="00D4015F" w:rsidRDefault="00D4015F" w:rsidP="00D4015F">
      <w:pPr>
        <w:pStyle w:val="Odsekzoznamu"/>
        <w:numPr>
          <w:ilvl w:val="0"/>
          <w:numId w:val="22"/>
        </w:numPr>
        <w:spacing w:after="0" w:line="240" w:lineRule="auto"/>
        <w:jc w:val="both"/>
        <w:rPr>
          <w:rFonts w:ascii="Times New Roman" w:hAnsi="Times New Roman" w:cs="Times New Roman"/>
          <w:sz w:val="24"/>
          <w:szCs w:val="24"/>
        </w:rPr>
      </w:pPr>
      <w:r w:rsidRPr="00621F5B">
        <w:rPr>
          <w:rFonts w:ascii="Times New Roman" w:hAnsi="Times New Roman" w:cs="Times New Roman"/>
          <w:sz w:val="24"/>
          <w:szCs w:val="24"/>
        </w:rPr>
        <w:t>po zmene obchodného mena, sídla alebo iných údajov zapísaných v príslušnom registri, v ktorom je zapísaný, alebo iných údajov uvedených v zmluve, písomne oznámiť túto skutočnosť centrálnemu depozitárovi a požiadať o zmenu zaregistrovaných údajov,</w:t>
      </w:r>
    </w:p>
    <w:p w:rsidR="00D4015F" w:rsidRPr="00D4015F" w:rsidRDefault="00D4015F" w:rsidP="00D4015F">
      <w:pPr>
        <w:pStyle w:val="Odsekzoznamu"/>
        <w:numPr>
          <w:ilvl w:val="0"/>
          <w:numId w:val="22"/>
        </w:numPr>
        <w:spacing w:after="0" w:line="240" w:lineRule="auto"/>
        <w:jc w:val="both"/>
        <w:rPr>
          <w:rFonts w:ascii="Times New Roman" w:hAnsi="Times New Roman" w:cs="Times New Roman"/>
          <w:sz w:val="24"/>
          <w:szCs w:val="24"/>
        </w:rPr>
      </w:pPr>
      <w:r w:rsidRPr="00D4015F">
        <w:rPr>
          <w:rFonts w:ascii="Times New Roman" w:hAnsi="Times New Roman" w:cs="Times New Roman"/>
          <w:sz w:val="24"/>
          <w:szCs w:val="24"/>
        </w:rPr>
        <w:t>po zmene mena, priezviska alebo adresy trvalého bydliska alebo iných údajov uvedených v zmluve, oznámiť túto skutočnosť centrálnemu depozitárovi a poverenému členovi a požiadať o zmenu zaregistrovaných údajov.</w:t>
      </w:r>
    </w:p>
    <w:p w:rsidR="00D4015F" w:rsidRDefault="00F14DA4" w:rsidP="00D4015F">
      <w:pPr>
        <w:pStyle w:val="Odsekzoznamu"/>
        <w:numPr>
          <w:ilvl w:val="0"/>
          <w:numId w:val="21"/>
        </w:numPr>
        <w:spacing w:after="0" w:line="240" w:lineRule="auto"/>
        <w:jc w:val="both"/>
        <w:rPr>
          <w:rFonts w:ascii="Times New Roman" w:hAnsi="Times New Roman" w:cs="Times New Roman"/>
          <w:sz w:val="24"/>
          <w:szCs w:val="24"/>
        </w:rPr>
      </w:pPr>
      <w:r w:rsidRPr="00D4015F">
        <w:rPr>
          <w:rFonts w:ascii="Times New Roman" w:hAnsi="Times New Roman" w:cs="Times New Roman"/>
          <w:sz w:val="24"/>
          <w:szCs w:val="24"/>
        </w:rPr>
        <w:t>Majiteľ účtu je povinný riadne a včas uhrádzať ceny v súlade s cenníkom v platnom znení alebo zabezpečiť ich úhradu, inak je centrálny depozitár oprávnený výkon činnosti podľa zmluvy odmietnuť či</w:t>
      </w:r>
      <w:r w:rsidR="0072563A">
        <w:rPr>
          <w:rFonts w:ascii="Times New Roman" w:hAnsi="Times New Roman" w:cs="Times New Roman"/>
          <w:sz w:val="24"/>
          <w:szCs w:val="24"/>
        </w:rPr>
        <w:t xml:space="preserve"> pozastaviť až do ich uhradenia.</w:t>
      </w:r>
      <w:r w:rsidRPr="00D4015F">
        <w:rPr>
          <w:rFonts w:ascii="Times New Roman" w:hAnsi="Times New Roman" w:cs="Times New Roman"/>
          <w:sz w:val="24"/>
          <w:szCs w:val="24"/>
        </w:rPr>
        <w:t xml:space="preserve"> Centrálny depozitár je taktiež oprávnený požadovať zaplatenie poplatku alebo odplaty podľa zmluvy majiteľom účtu predtým, ako bude sám povinný plniť akúkoľvek povinnosť podľa zmluvy.</w:t>
      </w:r>
    </w:p>
    <w:p w:rsidR="00F14DA4" w:rsidRPr="00D4015F" w:rsidRDefault="00F14DA4" w:rsidP="00D4015F">
      <w:pPr>
        <w:pStyle w:val="Odsekzoznamu"/>
        <w:numPr>
          <w:ilvl w:val="0"/>
          <w:numId w:val="21"/>
        </w:numPr>
        <w:spacing w:after="0" w:line="240" w:lineRule="auto"/>
        <w:jc w:val="both"/>
        <w:rPr>
          <w:rFonts w:ascii="Times New Roman" w:hAnsi="Times New Roman" w:cs="Times New Roman"/>
          <w:sz w:val="24"/>
          <w:szCs w:val="24"/>
        </w:rPr>
      </w:pPr>
      <w:r w:rsidRPr="00D4015F">
        <w:rPr>
          <w:rFonts w:ascii="Times New Roman" w:hAnsi="Times New Roman" w:cs="Times New Roman"/>
          <w:sz w:val="24"/>
          <w:szCs w:val="24"/>
        </w:rPr>
        <w:t xml:space="preserve">Majiteľ účtu je povinný poskytnúť centrálnemu depozitárovi súčinnosť a všetky podklady potrebné na výkon činnosti centrálneho depozitára podľa zmluvy, a to vo forme a s obsahom v zmysle zmluvy a Prevádzkového poriadku, pričom ich nepredloženie, neúplne alebo oneskorené predloženie je na ťarchu majiteľa účtu a centrálny depozitár je oprávnený </w:t>
      </w:r>
      <w:r w:rsidRPr="00D4015F">
        <w:rPr>
          <w:rFonts w:ascii="Times New Roman" w:hAnsi="Times New Roman" w:cs="Times New Roman"/>
          <w:sz w:val="24"/>
          <w:szCs w:val="24"/>
          <w:lang w:eastAsia="sk-SK"/>
        </w:rPr>
        <w:t>príkaz a/alebo žiadosť na službu</w:t>
      </w:r>
      <w:r w:rsidRPr="00D4015F">
        <w:rPr>
          <w:rFonts w:ascii="Times New Roman" w:hAnsi="Times New Roman" w:cs="Times New Roman"/>
          <w:sz w:val="24"/>
          <w:szCs w:val="24"/>
        </w:rPr>
        <w:t xml:space="preserve"> neprijať, nevykonať alebo jej vykonanie pozastaviť a odmietnuť vykonať akýkoľvek iný úkon či činnosť podľa zmluvy.</w:t>
      </w:r>
    </w:p>
    <w:p w:rsidR="00F14DA4" w:rsidRDefault="00F14DA4" w:rsidP="0054588B">
      <w:pPr>
        <w:spacing w:after="0" w:line="240" w:lineRule="auto"/>
        <w:jc w:val="both"/>
        <w:rPr>
          <w:rFonts w:ascii="Times New Roman" w:hAnsi="Times New Roman" w:cs="Times New Roman"/>
          <w:color w:val="000000"/>
          <w:sz w:val="24"/>
          <w:szCs w:val="24"/>
        </w:rPr>
      </w:pPr>
    </w:p>
    <w:p w:rsidR="00423136" w:rsidRPr="00423136" w:rsidRDefault="00423136" w:rsidP="00423136">
      <w:pPr>
        <w:rPr>
          <w:rFonts w:ascii="Times New Roman" w:hAnsi="Times New Roman" w:cs="Times New Roman"/>
          <w:b/>
          <w:sz w:val="24"/>
          <w:szCs w:val="24"/>
        </w:rPr>
      </w:pPr>
      <w:r w:rsidRPr="00423136">
        <w:rPr>
          <w:rFonts w:ascii="Times New Roman" w:hAnsi="Times New Roman" w:cs="Times New Roman"/>
          <w:b/>
          <w:sz w:val="24"/>
          <w:szCs w:val="24"/>
        </w:rPr>
        <w:t xml:space="preserve">4. PLATOBNÉ A FAKTURAČNÉ PODMIENKY </w:t>
      </w:r>
    </w:p>
    <w:p w:rsidR="00FA1B0E" w:rsidRDefault="00423136" w:rsidP="00FA1B0E">
      <w:pPr>
        <w:pStyle w:val="Zarkazkladnhotextu"/>
        <w:numPr>
          <w:ilvl w:val="0"/>
          <w:numId w:val="23"/>
        </w:numPr>
        <w:spacing w:after="0"/>
        <w:jc w:val="both"/>
      </w:pPr>
      <w:r w:rsidRPr="00423136">
        <w:t xml:space="preserve">Majiteľ účtu je povinný uhrádzať </w:t>
      </w:r>
      <w:r w:rsidR="002B6DB3">
        <w:t>poplatky</w:t>
      </w:r>
      <w:r w:rsidRPr="00423136">
        <w:t xml:space="preserve"> súvisiace so zriadením a</w:t>
      </w:r>
      <w:r w:rsidR="002B6DB3">
        <w:t> vedením účtu majiteľa, ako aj poplatky</w:t>
      </w:r>
      <w:r w:rsidRPr="00423136">
        <w:t xml:space="preserve"> za ďalšie služby a úkony, ktoré mu centrálny depozitár poskytuje na základe alebo v súvislosti so zmluvou, v súlade s cenníkom </w:t>
      </w:r>
      <w:r w:rsidR="007044B4">
        <w:t>platným</w:t>
      </w:r>
      <w:r w:rsidRPr="00423136">
        <w:t xml:space="preserve"> v čase vykonania služby.</w:t>
      </w:r>
    </w:p>
    <w:p w:rsidR="00FA1B0E" w:rsidRDefault="00423136" w:rsidP="00FA1B0E">
      <w:pPr>
        <w:pStyle w:val="Zarkazkladnhotextu"/>
        <w:numPr>
          <w:ilvl w:val="0"/>
          <w:numId w:val="23"/>
        </w:numPr>
        <w:spacing w:after="0"/>
        <w:jc w:val="both"/>
      </w:pPr>
      <w:r w:rsidRPr="00423136">
        <w:t xml:space="preserve">Majiteľ účtu je povinný centrálnemu depozitárovi nahradiť všetky účelne vynaložené náklady a výdavky, ktoré centrálny depozitár vynaložil pri výkone svojej činnosti podľa </w:t>
      </w:r>
      <w:r w:rsidRPr="00423136">
        <w:lastRenderedPageBreak/>
        <w:t>zmluvy, pričom tieto náklady a výdavky nie sú zahrnuté v cenách podľa cenníka, ak v cenníku nie je výslovne uvedené inak.</w:t>
      </w:r>
    </w:p>
    <w:p w:rsidR="00FA1B0E" w:rsidRDefault="00423136" w:rsidP="00FA1B0E">
      <w:pPr>
        <w:pStyle w:val="Zarkazkladnhotextu"/>
        <w:numPr>
          <w:ilvl w:val="0"/>
          <w:numId w:val="23"/>
        </w:numPr>
        <w:spacing w:after="0"/>
        <w:jc w:val="both"/>
      </w:pPr>
      <w:r w:rsidRPr="00FA1B0E">
        <w:t xml:space="preserve">Majiteľ účtu je povinný faktúru centrálneho depozitára uhradiť </w:t>
      </w:r>
      <w:r w:rsidR="00DB5851" w:rsidRPr="00FA1B0E">
        <w:t>v lehote splatnosti uvedenej</w:t>
      </w:r>
      <w:r w:rsidRPr="00FA1B0E">
        <w:t xml:space="preserve"> na faktúre. Faktúra sa považuje za uhradenú dňom pripísania finančných prostriedkov na bankový účet centrálneho depozitára alebo úhradou v hotovosti do pokladne.</w:t>
      </w:r>
    </w:p>
    <w:p w:rsidR="00FA1B0E" w:rsidRDefault="00423136" w:rsidP="00FA1B0E">
      <w:pPr>
        <w:pStyle w:val="Zarkazkladnhotextu"/>
        <w:numPr>
          <w:ilvl w:val="0"/>
          <w:numId w:val="23"/>
        </w:numPr>
        <w:spacing w:after="0"/>
        <w:jc w:val="both"/>
      </w:pPr>
      <w:r w:rsidRPr="00FA1B0E">
        <w:t>Centrálny depozitár bude k cenám podľa platného cenníka účtovať daň z pridanej hodnoty podľa zákona č. 222/2004 Z. z. v znení neskorších predpisov. V prípade zmien právnych predpisov upravujúcich daň z pridanej hodnoty bude táto účtovaná na základe zmenených právnych predpisov platných v čase poskytnutia služby alebo v čase účtovania ceny.</w:t>
      </w:r>
    </w:p>
    <w:p w:rsidR="00FA1B0E" w:rsidRDefault="00423136" w:rsidP="00FA1B0E">
      <w:pPr>
        <w:pStyle w:val="Zarkazkladnhotextu"/>
        <w:numPr>
          <w:ilvl w:val="0"/>
          <w:numId w:val="23"/>
        </w:numPr>
        <w:spacing w:after="0"/>
        <w:jc w:val="both"/>
      </w:pPr>
      <w:r w:rsidRPr="00FA1B0E">
        <w:t xml:space="preserve">Zmluvné strany sa dohodli, že vzájomné platby budú realizovať bankovým prevodom na účet v banke alebo poštovou poukážkou. Majiteľ účtu realizuje úhrady na účet centrálneho depozitára uvedený na faktúre. Tým sa nevylučuje možnosť úhrady v hotovosti do pokladne centrálneho depozitára pri službách poskytnutých na základe osobne podanej požiadavky na služby centrálneho depozitára v sídle centrálneho depozitára. </w:t>
      </w:r>
    </w:p>
    <w:p w:rsidR="00FA1B0E" w:rsidRDefault="00423136" w:rsidP="00FA1B0E">
      <w:pPr>
        <w:pStyle w:val="Zarkazkladnhotextu"/>
        <w:numPr>
          <w:ilvl w:val="0"/>
          <w:numId w:val="23"/>
        </w:numPr>
        <w:spacing w:after="0"/>
        <w:jc w:val="both"/>
      </w:pPr>
      <w:r w:rsidRPr="00FA1B0E">
        <w:t>V prípade omeškania s úhradou peňažného záväzku môže centrálny depozitár uplatňovať voči majiteľovi účtu úrok z omeškania v zmysle Obchodného zákonníka, čím nie je dotknutý nárok centrálneho depozitára na náhradu škody spôsobenej omeškaním so splnením peňažného záväzku majiteľa účtu.</w:t>
      </w:r>
    </w:p>
    <w:p w:rsidR="00423136" w:rsidRPr="00FA1B0E" w:rsidRDefault="00423136" w:rsidP="00FA1B0E">
      <w:pPr>
        <w:pStyle w:val="Zarkazkladnhotextu"/>
        <w:numPr>
          <w:ilvl w:val="0"/>
          <w:numId w:val="23"/>
        </w:numPr>
        <w:spacing w:after="0"/>
        <w:jc w:val="both"/>
      </w:pPr>
      <w:r w:rsidRPr="00FA1B0E">
        <w:t>Ak je majiteľ účtu nepretržite dlhšie ako 14 kalendárnych dní v omeškaní so splnením čo len časti svojho peňažného záväzku voči centrálnemu depozitárovi, môže centrálny depozitár odmietnuť poskytnutie svojich služieb majiteľovi účtu, a to až do doby, pokiaľ si majiteľ účtu nesplní tento peňažný záväzok alebo jeho nesplnenú časť.</w:t>
      </w:r>
    </w:p>
    <w:p w:rsidR="00F14DA4" w:rsidRPr="00423136" w:rsidRDefault="00F14DA4" w:rsidP="0054588B">
      <w:pPr>
        <w:spacing w:after="0" w:line="240" w:lineRule="auto"/>
        <w:jc w:val="both"/>
        <w:rPr>
          <w:rFonts w:ascii="Times New Roman" w:hAnsi="Times New Roman" w:cs="Times New Roman"/>
          <w:color w:val="000000"/>
          <w:sz w:val="24"/>
          <w:szCs w:val="24"/>
        </w:rPr>
      </w:pPr>
    </w:p>
    <w:p w:rsidR="00F14DA4" w:rsidRPr="00F01D0B" w:rsidRDefault="00F01D0B" w:rsidP="0054588B">
      <w:pPr>
        <w:spacing w:after="0" w:line="240" w:lineRule="auto"/>
        <w:jc w:val="both"/>
        <w:rPr>
          <w:rFonts w:ascii="Times New Roman" w:hAnsi="Times New Roman" w:cs="Times New Roman"/>
          <w:b/>
          <w:color w:val="000000"/>
          <w:sz w:val="24"/>
          <w:szCs w:val="24"/>
        </w:rPr>
      </w:pPr>
      <w:r w:rsidRPr="00F01D0B">
        <w:rPr>
          <w:rFonts w:ascii="Times New Roman" w:hAnsi="Times New Roman" w:cs="Times New Roman"/>
          <w:b/>
          <w:color w:val="000000"/>
          <w:sz w:val="24"/>
          <w:szCs w:val="24"/>
        </w:rPr>
        <w:t>5. NÁHRADA ŠKODY</w:t>
      </w:r>
    </w:p>
    <w:p w:rsidR="00F01D0B" w:rsidRDefault="00F01D0B" w:rsidP="0054588B">
      <w:pPr>
        <w:spacing w:after="0" w:line="240" w:lineRule="auto"/>
        <w:jc w:val="both"/>
        <w:rPr>
          <w:rFonts w:ascii="Times New Roman" w:hAnsi="Times New Roman" w:cs="Times New Roman"/>
          <w:color w:val="000000"/>
          <w:sz w:val="24"/>
          <w:szCs w:val="24"/>
        </w:rPr>
      </w:pPr>
    </w:p>
    <w:p w:rsidR="00BA4FEA" w:rsidRDefault="00F01D0B" w:rsidP="00BA4FEA">
      <w:pPr>
        <w:pStyle w:val="Zarkazkladnhotextu"/>
        <w:numPr>
          <w:ilvl w:val="0"/>
          <w:numId w:val="24"/>
        </w:numPr>
        <w:spacing w:after="0"/>
        <w:jc w:val="both"/>
        <w:rPr>
          <w:color w:val="000000"/>
        </w:rPr>
      </w:pPr>
      <w:r w:rsidRPr="00F01D0B">
        <w:rPr>
          <w:color w:val="000000"/>
        </w:rPr>
        <w:t>Majiteľ účtu zodpovedá centrálnemu depozitárovi za škodu, ktorá vznikla porušením jeho záväzku vyplývajúceho zo zmluvy, zákona alebo Prevádzkového poriadku.</w:t>
      </w:r>
    </w:p>
    <w:p w:rsidR="00BA4FEA" w:rsidRDefault="00F01D0B" w:rsidP="00BA4FEA">
      <w:pPr>
        <w:pStyle w:val="Zarkazkladnhotextu"/>
        <w:numPr>
          <w:ilvl w:val="0"/>
          <w:numId w:val="24"/>
        </w:numPr>
        <w:spacing w:after="0"/>
        <w:jc w:val="both"/>
        <w:rPr>
          <w:color w:val="000000"/>
        </w:rPr>
      </w:pPr>
      <w:r w:rsidRPr="00BA4FEA">
        <w:rPr>
          <w:color w:val="000000"/>
        </w:rPr>
        <w:t>Majiteľ účtu zodpovedá centrálnemu depozitárovi za škodu, ktorá vznikla tým, že neposkytol centrálnemu depozitárovi pre jeho činnosť dohodnutú podľa tejto zmluvy potrebné doklady, alebo ich poskytol oneskorene alebo nesprávne alebo neúplne alebo v inej ako požadovanej alebo dohodnutej forme alebo ak postupoval v rozpore so zmluvou alebo Prevádzkovým poriadkom.</w:t>
      </w:r>
    </w:p>
    <w:p w:rsidR="00BA4FEA" w:rsidRPr="00BA4FEA" w:rsidRDefault="00F01D0B" w:rsidP="00BA4FEA">
      <w:pPr>
        <w:pStyle w:val="Zarkazkladnhotextu"/>
        <w:numPr>
          <w:ilvl w:val="0"/>
          <w:numId w:val="24"/>
        </w:numPr>
        <w:spacing w:after="0"/>
        <w:jc w:val="both"/>
        <w:rPr>
          <w:color w:val="000000"/>
        </w:rPr>
      </w:pPr>
      <w:r w:rsidRPr="00BA4FEA">
        <w:t xml:space="preserve">Majiteľ účtu ku dňu podpísania zmluvy a ku dňu podania každého príkazu či žiadosti vyhlasuje v prospech centrálneho depozitára, že uzavretie zmluvy majiteľom účtu a jeho plnenie povinností podľa zmluvy nie sú v rozpore so žiadnym právnym predpisom ani so žiadnym iným dokumentom, ktorým je majiteľ účtu viazaný, a ďalej majiteľ účtu prehlasuje a zodpovedá za to, že príloha č. 1 ku zmluve je vyplnená pravdivo, správne a úplne, pričom zodpovedá za všetku škodu, ktorú spôsobí porušením ktorejkoľvek z týchto povinností alebo nepravdivosťou ktoréhokoľvek z týchto prehlásení. Majiteľ účtu je povinný vypĺňať žiadosti a príkazy na služby centrálneho depozitára pravdivo, správne a úplne, inak zodpovedá za škodu, ktorú spôsobí porušením tejto povinnosti. </w:t>
      </w:r>
    </w:p>
    <w:p w:rsidR="00BA4FEA" w:rsidRDefault="00F01D0B" w:rsidP="00BA4FEA">
      <w:pPr>
        <w:pStyle w:val="Zarkazkladnhotextu"/>
        <w:numPr>
          <w:ilvl w:val="0"/>
          <w:numId w:val="24"/>
        </w:numPr>
        <w:spacing w:after="0"/>
        <w:jc w:val="both"/>
        <w:rPr>
          <w:color w:val="000000"/>
        </w:rPr>
      </w:pPr>
      <w:r w:rsidRPr="00BA4FEA">
        <w:rPr>
          <w:color w:val="000000"/>
        </w:rPr>
        <w:t xml:space="preserve">Centrálny depozitár zodpovedá za škody, ktoré spôsobil majiteľovi účtu nesprávnym, neúplným alebo oneskoreným vykonaním jeho pokynov alebo ak postupoval v rozpore so zmluvou alebo Prevádzkovým poriadkom. Zmluvné strany sa dohodli, že povinnosť centrálneho depozitára sa však nebude považovať za nesplnenú alebo porušenú, iba ak by </w:t>
      </w:r>
      <w:r w:rsidRPr="00BA4FEA">
        <w:rPr>
          <w:color w:val="000000"/>
        </w:rPr>
        <w:lastRenderedPageBreak/>
        <w:t>k tomu došlo úmyselným konaním alebo hrubou nedbanlivosťou centrálneho depozitára alebo jeho zamestnancov.</w:t>
      </w:r>
    </w:p>
    <w:p w:rsidR="00BA4FEA" w:rsidRDefault="00F01D0B" w:rsidP="00BA4FEA">
      <w:pPr>
        <w:pStyle w:val="Zarkazkladnhotextu"/>
        <w:numPr>
          <w:ilvl w:val="0"/>
          <w:numId w:val="24"/>
        </w:numPr>
        <w:spacing w:after="0"/>
        <w:jc w:val="both"/>
        <w:rPr>
          <w:color w:val="000000"/>
        </w:rPr>
      </w:pPr>
      <w:r w:rsidRPr="00BA4FEA">
        <w:rPr>
          <w:color w:val="000000"/>
        </w:rPr>
        <w:t>Centrálny depozitár nezodpovedá majiteľovi účtu za škodu spôsobenú vykonaním príkazu alebo žiadosti, ktoré v dobrej viere prijal a považoval za riadny príkaz alebo žiadosť dané v mene alebo za majiteľa účtu za predpokladu, že nedošlo k nesplneniu alebo porušeniu povinnosti centrálneho depozitára podľa zmluvy. Centrálny depozitár nezodpovedá majiteľovi účtu za škodu spôsobenú v súvislosti s nesplnením akýchkoľvek povinností zo strany majiteľa účtu získať akýkoľvek predchádzajúci súhlas, oznamovacích povinností uskutočniť ponuku na nadobudnutie cenných papierov alebo iných povinností podľa príslušných právnych predpisov.</w:t>
      </w:r>
    </w:p>
    <w:p w:rsidR="00BA4FEA" w:rsidRPr="00BA4FEA" w:rsidRDefault="00F01D0B" w:rsidP="00BA4FEA">
      <w:pPr>
        <w:pStyle w:val="Zarkazkladnhotextu"/>
        <w:numPr>
          <w:ilvl w:val="0"/>
          <w:numId w:val="24"/>
        </w:numPr>
        <w:spacing w:after="0"/>
        <w:jc w:val="both"/>
        <w:rPr>
          <w:color w:val="000000"/>
        </w:rPr>
      </w:pPr>
      <w:r w:rsidRPr="00BA4FEA">
        <w:t xml:space="preserve">Centrálny depozitár nezodpovedá za škodu, ktorá vznikne následkom porúch alebo </w:t>
      </w:r>
      <w:proofErr w:type="spellStart"/>
      <w:r w:rsidRPr="00BA4FEA">
        <w:t>vád</w:t>
      </w:r>
      <w:proofErr w:type="spellEnd"/>
      <w:r w:rsidRPr="00BA4FEA">
        <w:t xml:space="preserve"> </w:t>
      </w:r>
      <w:r w:rsidRPr="00BA4FEA">
        <w:rPr>
          <w:bCs/>
        </w:rPr>
        <w:t>spôsobených vyššou mocou alebo v dôsledku porušenia povinnosti spôsobeného okolnosťami vylučujúcimi zodpovednosť.</w:t>
      </w:r>
    </w:p>
    <w:p w:rsidR="00BA4FEA" w:rsidRDefault="00F01D0B" w:rsidP="00BA4FEA">
      <w:pPr>
        <w:pStyle w:val="Zarkazkladnhotextu"/>
        <w:numPr>
          <w:ilvl w:val="0"/>
          <w:numId w:val="24"/>
        </w:numPr>
        <w:spacing w:after="0"/>
        <w:jc w:val="both"/>
        <w:rPr>
          <w:color w:val="000000"/>
        </w:rPr>
      </w:pPr>
      <w:r w:rsidRPr="00BA4FEA">
        <w:rPr>
          <w:color w:val="000000"/>
        </w:rPr>
        <w:t>Prípady uvedené v tomto článku vyššie predstavujú na účely posúdenia zodpovednosti za škodu špeciálne okolnosti vylučujúce zodpovednosť, avšak bez obmedzenia všeobecnej definície okolností vylučujúcich zodpovednosť.</w:t>
      </w:r>
    </w:p>
    <w:p w:rsidR="00F01D0B" w:rsidRPr="00BA4FEA" w:rsidRDefault="00F01D0B" w:rsidP="00BA4FEA">
      <w:pPr>
        <w:pStyle w:val="Zarkazkladnhotextu"/>
        <w:numPr>
          <w:ilvl w:val="0"/>
          <w:numId w:val="24"/>
        </w:numPr>
        <w:spacing w:after="0"/>
        <w:jc w:val="both"/>
        <w:rPr>
          <w:color w:val="000000"/>
        </w:rPr>
      </w:pPr>
      <w:r w:rsidRPr="00BA4FEA">
        <w:rPr>
          <w:color w:val="000000"/>
        </w:rPr>
        <w:t xml:space="preserve">Na účely posúdenia zodpovednosti centrálneho depozitára za škodu a jej rozsahu v zmysle § 379 Obchodného zákonníka majiteľ účtu súhlasí s tým, že centrálny depozitár nemohol predvídať v čase uzavretia zmluvy vznik akéhokoľvek </w:t>
      </w:r>
      <w:proofErr w:type="spellStart"/>
      <w:r w:rsidRPr="00BA4FEA">
        <w:rPr>
          <w:color w:val="000000"/>
        </w:rPr>
        <w:t>ušlého</w:t>
      </w:r>
      <w:proofErr w:type="spellEnd"/>
      <w:r w:rsidRPr="00BA4FEA">
        <w:rPr>
          <w:color w:val="000000"/>
        </w:rPr>
        <w:t xml:space="preserve"> zisku ako dôsledok svojho prípadného porušenia zmluvy ani s vynaložením potrebnej odbornej starostlivosti, a že preto je predvídateľná výška </w:t>
      </w:r>
      <w:proofErr w:type="spellStart"/>
      <w:r w:rsidRPr="00BA4FEA">
        <w:rPr>
          <w:color w:val="000000"/>
        </w:rPr>
        <w:t>ušlého</w:t>
      </w:r>
      <w:proofErr w:type="spellEnd"/>
      <w:r w:rsidRPr="00BA4FEA">
        <w:rPr>
          <w:color w:val="000000"/>
        </w:rPr>
        <w:t xml:space="preserve"> zisku majiteľa účtu 0 (nula).</w:t>
      </w:r>
    </w:p>
    <w:p w:rsidR="00F01D0B" w:rsidRDefault="00F01D0B" w:rsidP="0054588B">
      <w:pPr>
        <w:spacing w:after="0" w:line="240" w:lineRule="auto"/>
        <w:jc w:val="both"/>
        <w:rPr>
          <w:rFonts w:ascii="Times New Roman" w:hAnsi="Times New Roman" w:cs="Times New Roman"/>
          <w:color w:val="000000"/>
          <w:sz w:val="24"/>
          <w:szCs w:val="24"/>
        </w:rPr>
      </w:pPr>
    </w:p>
    <w:p w:rsidR="00F01D0B" w:rsidRPr="00F01D0B" w:rsidRDefault="00F01D0B" w:rsidP="0054588B">
      <w:pPr>
        <w:spacing w:after="0" w:line="240" w:lineRule="auto"/>
        <w:jc w:val="both"/>
        <w:rPr>
          <w:rFonts w:ascii="Times New Roman" w:hAnsi="Times New Roman" w:cs="Times New Roman"/>
          <w:b/>
          <w:color w:val="000000"/>
          <w:sz w:val="24"/>
          <w:szCs w:val="24"/>
        </w:rPr>
      </w:pPr>
      <w:r w:rsidRPr="00F01D0B">
        <w:rPr>
          <w:rFonts w:ascii="Times New Roman" w:hAnsi="Times New Roman" w:cs="Times New Roman"/>
          <w:b/>
          <w:color w:val="000000"/>
          <w:sz w:val="24"/>
          <w:szCs w:val="24"/>
        </w:rPr>
        <w:t xml:space="preserve">6. </w:t>
      </w:r>
      <w:r w:rsidR="00146034">
        <w:rPr>
          <w:rFonts w:ascii="Times New Roman" w:hAnsi="Times New Roman" w:cs="Times New Roman"/>
          <w:b/>
          <w:color w:val="000000"/>
          <w:sz w:val="24"/>
          <w:szCs w:val="24"/>
        </w:rPr>
        <w:t xml:space="preserve">ZMENA A </w:t>
      </w:r>
      <w:r w:rsidRPr="00F01D0B">
        <w:rPr>
          <w:rFonts w:ascii="Times New Roman" w:hAnsi="Times New Roman" w:cs="Times New Roman"/>
          <w:b/>
          <w:color w:val="000000"/>
          <w:sz w:val="24"/>
          <w:szCs w:val="24"/>
        </w:rPr>
        <w:t>ZÁNIK ZMLUVY</w:t>
      </w:r>
    </w:p>
    <w:p w:rsidR="00F14DA4" w:rsidRDefault="00F14DA4" w:rsidP="0054588B">
      <w:pPr>
        <w:spacing w:after="0" w:line="240" w:lineRule="auto"/>
        <w:jc w:val="both"/>
        <w:rPr>
          <w:rFonts w:ascii="Times New Roman" w:hAnsi="Times New Roman" w:cs="Times New Roman"/>
          <w:color w:val="000000"/>
          <w:sz w:val="24"/>
          <w:szCs w:val="24"/>
        </w:rPr>
      </w:pPr>
    </w:p>
    <w:p w:rsidR="00BA4FEA" w:rsidRDefault="00146034" w:rsidP="00BA4FEA">
      <w:pPr>
        <w:pStyle w:val="Odsekzoznamu"/>
        <w:numPr>
          <w:ilvl w:val="0"/>
          <w:numId w:val="25"/>
        </w:numPr>
        <w:spacing w:after="0" w:line="240" w:lineRule="auto"/>
        <w:jc w:val="both"/>
        <w:rPr>
          <w:rFonts w:ascii="Times New Roman" w:hAnsi="Times New Roman" w:cs="Times New Roman"/>
          <w:color w:val="000000"/>
          <w:sz w:val="24"/>
          <w:szCs w:val="24"/>
        </w:rPr>
      </w:pPr>
      <w:r w:rsidRPr="00BA4FEA">
        <w:rPr>
          <w:rFonts w:ascii="Times New Roman" w:hAnsi="Times New Roman" w:cs="Times New Roman"/>
          <w:color w:val="000000"/>
          <w:sz w:val="24"/>
          <w:szCs w:val="24"/>
        </w:rPr>
        <w:t>Zmluva môže byť zmenená aj na základe dohody oboch zmluvných strán vo forme písomných dodatkov.</w:t>
      </w:r>
    </w:p>
    <w:p w:rsidR="00BA4FEA" w:rsidRDefault="00F01D0B" w:rsidP="00BA4FEA">
      <w:pPr>
        <w:pStyle w:val="Odsekzoznamu"/>
        <w:numPr>
          <w:ilvl w:val="0"/>
          <w:numId w:val="25"/>
        </w:numPr>
        <w:spacing w:after="0" w:line="240" w:lineRule="auto"/>
        <w:jc w:val="both"/>
        <w:rPr>
          <w:rFonts w:ascii="Times New Roman" w:hAnsi="Times New Roman" w:cs="Times New Roman"/>
          <w:color w:val="000000"/>
          <w:sz w:val="24"/>
          <w:szCs w:val="24"/>
        </w:rPr>
      </w:pPr>
      <w:r w:rsidRPr="00BA4FEA">
        <w:rPr>
          <w:rFonts w:ascii="Times New Roman" w:hAnsi="Times New Roman" w:cs="Times New Roman"/>
          <w:color w:val="000000"/>
          <w:sz w:val="24"/>
          <w:szCs w:val="24"/>
        </w:rPr>
        <w:t>Dňom zrušenia účtu majiteľa v súlade s Prevádzkovým poriadkom alebo so zákonom stráca zmluva platnosť a účinnosť.</w:t>
      </w:r>
    </w:p>
    <w:p w:rsidR="004F0889" w:rsidRPr="00BA4FEA" w:rsidRDefault="004F0889" w:rsidP="00BA4FEA">
      <w:pPr>
        <w:pStyle w:val="Odsekzoznamu"/>
        <w:numPr>
          <w:ilvl w:val="0"/>
          <w:numId w:val="25"/>
        </w:numPr>
        <w:spacing w:after="0" w:line="240" w:lineRule="auto"/>
        <w:jc w:val="both"/>
        <w:rPr>
          <w:rFonts w:ascii="Times New Roman" w:hAnsi="Times New Roman" w:cs="Times New Roman"/>
          <w:color w:val="000000"/>
          <w:sz w:val="24"/>
          <w:szCs w:val="24"/>
        </w:rPr>
      </w:pPr>
      <w:r w:rsidRPr="00BA4FEA">
        <w:rPr>
          <w:rFonts w:ascii="Times New Roman" w:hAnsi="Times New Roman" w:cs="Times New Roman"/>
          <w:sz w:val="24"/>
          <w:szCs w:val="24"/>
        </w:rPr>
        <w:t>Zmluva sa uzatvára na dobu neurčitú a možno ju vypovedať v trojmesačnej výpovednej lehote bez uvedenia dôvodov, pričom výpovedná lehota začína plynúť prvým dňom kalendárneho mesiaca nasledujúceho po doručení výpovede. Výpoveď je účinná len v prípade, ak ku dňu uplynutia výpovednej lehoty nie je na účte majiteľa evidovaný žiadny cenný papier; v opačnom prípade sa táto výpoveď zrušuje. Výpoveď zmluvy majiteľom účtu je zároveň podaním žiadosti o zrušenie účtu/účtov majiteľa vedeného/vedených na základe zmluvy.</w:t>
      </w:r>
    </w:p>
    <w:p w:rsidR="004F0889" w:rsidRDefault="004F0889" w:rsidP="002A7CD5">
      <w:pPr>
        <w:spacing w:after="0" w:line="240" w:lineRule="auto"/>
        <w:jc w:val="both"/>
        <w:rPr>
          <w:rFonts w:ascii="Times New Roman" w:hAnsi="Times New Roman" w:cs="Times New Roman"/>
          <w:color w:val="000000"/>
          <w:sz w:val="24"/>
          <w:szCs w:val="24"/>
        </w:rPr>
      </w:pPr>
    </w:p>
    <w:p w:rsidR="004F0889" w:rsidRPr="004F0889" w:rsidRDefault="004F0889" w:rsidP="00F01D0B">
      <w:pPr>
        <w:spacing w:after="0" w:line="240" w:lineRule="auto"/>
        <w:ind w:left="705" w:hanging="705"/>
        <w:jc w:val="both"/>
        <w:rPr>
          <w:rFonts w:ascii="Times New Roman" w:hAnsi="Times New Roman" w:cs="Times New Roman"/>
          <w:b/>
          <w:color w:val="000000"/>
          <w:sz w:val="24"/>
          <w:szCs w:val="24"/>
        </w:rPr>
      </w:pPr>
      <w:r w:rsidRPr="004F0889">
        <w:rPr>
          <w:rFonts w:ascii="Times New Roman" w:hAnsi="Times New Roman" w:cs="Times New Roman"/>
          <w:b/>
          <w:color w:val="000000"/>
          <w:sz w:val="24"/>
          <w:szCs w:val="24"/>
        </w:rPr>
        <w:t>7. ZÁVEREČNÉ USTANOVENIA</w:t>
      </w:r>
    </w:p>
    <w:p w:rsidR="004F0889" w:rsidRDefault="004F0889" w:rsidP="004F0889">
      <w:pPr>
        <w:spacing w:after="0" w:line="240" w:lineRule="auto"/>
        <w:jc w:val="both"/>
        <w:rPr>
          <w:rFonts w:ascii="Times New Roman" w:hAnsi="Times New Roman" w:cs="Times New Roman"/>
          <w:sz w:val="24"/>
          <w:szCs w:val="24"/>
        </w:rPr>
      </w:pPr>
    </w:p>
    <w:p w:rsidR="00BA4FEA" w:rsidRPr="00BA4FEA" w:rsidRDefault="004F0889" w:rsidP="00BA4FEA">
      <w:pPr>
        <w:pStyle w:val="Odsekzoznamu"/>
        <w:numPr>
          <w:ilvl w:val="0"/>
          <w:numId w:val="26"/>
        </w:numPr>
        <w:spacing w:after="0" w:line="240" w:lineRule="auto"/>
        <w:jc w:val="both"/>
        <w:rPr>
          <w:rFonts w:ascii="Times New Roman" w:hAnsi="Times New Roman" w:cs="Times New Roman"/>
        </w:rPr>
      </w:pPr>
      <w:r w:rsidRPr="00BA4FEA">
        <w:rPr>
          <w:rFonts w:ascii="Times New Roman" w:hAnsi="Times New Roman" w:cs="Times New Roman"/>
          <w:sz w:val="24"/>
          <w:szCs w:val="24"/>
        </w:rPr>
        <w:t xml:space="preserve">Informácie pre žiadateľa (majiteľa účtu) podľa § 15 zákona č. 122/2013 Z. z. o ochrane osobných údajov a o zmene a doplnení niektorých zákonov v znení neskorších predpisov:  Právnym základom pre spracovanie osobných údajov centrálnym depozitárom je osobitný zákon, konkrétne zákon č. 566/2001 Z. z. o cenných papieroch a investičných službách a o zmene a doplnení niektorých zákonov (zákon o cenných papieroch). Povinnosť poskytnúť osobné údaje vyplýva zo skutočnosti, že § 105 ods. 1 písm. b) bod 2 uvedeného osobitného zákona vyžaduje, aby účet majiteľa obsahoval tieto údaje o majiteľovi účtu: meno a priezvisko, rodné číslo a trvalý pobyt, ak je majiteľ účtu fyzickou </w:t>
      </w:r>
      <w:r w:rsidRPr="00BA4FEA">
        <w:rPr>
          <w:rFonts w:ascii="Times New Roman" w:hAnsi="Times New Roman" w:cs="Times New Roman"/>
          <w:sz w:val="24"/>
          <w:szCs w:val="24"/>
        </w:rPr>
        <w:lastRenderedPageBreak/>
        <w:t>osobou. Následkom odmietnutia poskytnutia osobných údajov centrálnemu depozitáru je nezriadenie účtu majiteľa. Centrálny depozitár v tomto prípade nenesie zodpovednosť za prípadne škody, ktoré vzniknú žiadateľovi na základe nezriadenia účtu majiteľa. Majiteľ účtu - ako dotknutá osoba, si môže u centrálneho depozitáru – ako prevádzkovateľa informačných systémov uplatniť svoje práva v súvislosti so spracúvaním jeho osobných údajov a to v zmysle §28 zákona č. 122/2013 Z. z. o ochrane osobných údajov a o zmene a doplnení niektorých zákonov v znení neskorších predpisov.</w:t>
      </w:r>
    </w:p>
    <w:p w:rsidR="00556653" w:rsidRPr="00556653" w:rsidRDefault="004F0889" w:rsidP="00556653">
      <w:pPr>
        <w:pStyle w:val="Odsekzoznamu"/>
        <w:numPr>
          <w:ilvl w:val="0"/>
          <w:numId w:val="26"/>
        </w:numPr>
        <w:spacing w:after="0" w:line="240" w:lineRule="auto"/>
        <w:jc w:val="both"/>
        <w:rPr>
          <w:rFonts w:ascii="Times New Roman" w:hAnsi="Times New Roman" w:cs="Times New Roman"/>
        </w:rPr>
      </w:pPr>
      <w:r w:rsidRPr="00BA4FEA">
        <w:rPr>
          <w:rFonts w:ascii="Times New Roman" w:hAnsi="Times New Roman" w:cs="Times New Roman"/>
          <w:sz w:val="24"/>
          <w:szCs w:val="24"/>
        </w:rPr>
        <w:t>Majiteľ účtu potvrdzuje centrálnemu depozitárovi, že požiadal centrálneho depozitára o uzatvorenie zmluvy, pričom centrálny depozitár tak nebol povinný spraviť. Vzhľadom na uvedené dáva majiteľ účtu ako sľubujúci centrálnemu depozitárovi ako príjemcovi sľubu sľub odškodnenia v zmysle § 725 Obchodného zákonníka a zaväzuje sa centrálnemu depozitárovi z titulu tohto sľubu odškodnenia na žiadosť centrálneho depozitára bez zbytočného odkladu nahradiť všetku škodu a náklady, ktoré centrálnemu depozitárovi vzniknú v súvislosti s tým, že uzavrel zmluvu a/alebo akékoľvek vyhlásenie majiteľa účtu na základe zmluvy sa ukázalo ako nepravdivé a/alebo splnil akúkoľvek povinnosť centrálneho depozitára podľa zmluvy. Sľub odškodnenia sa vzťahuje aj na škody, ktoré centrálnemu depozitárovi vzniknú z dôvodu jeho konania na základe príkazu či žiadosti majiteľa účtu, o ktorých sa v dobrej viere a s odbornou starostlivosťou, ktorú možno od centrálneho depozitára požadovať, domnieval, že boli udelené majiteľom účtu v súlade so zákonom a Prevádzkových poriadkom.</w:t>
      </w:r>
    </w:p>
    <w:p w:rsidR="00556653" w:rsidRPr="00556653" w:rsidRDefault="00556653" w:rsidP="00556653">
      <w:pPr>
        <w:pStyle w:val="Odsekzoznamu"/>
        <w:numPr>
          <w:ilvl w:val="0"/>
          <w:numId w:val="26"/>
        </w:numPr>
        <w:spacing w:after="0" w:line="240" w:lineRule="auto"/>
        <w:jc w:val="both"/>
        <w:rPr>
          <w:rFonts w:ascii="Times New Roman" w:hAnsi="Times New Roman" w:cs="Times New Roman"/>
        </w:rPr>
      </w:pPr>
      <w:r w:rsidRPr="00556653">
        <w:rPr>
          <w:rFonts w:ascii="Times New Roman" w:hAnsi="Times New Roman" w:cs="Times New Roman"/>
          <w:sz w:val="24"/>
          <w:szCs w:val="24"/>
        </w:rPr>
        <w:t xml:space="preserve">Ak majiteľ účtu opakovane neposkytuje centrálnemu depozitárovi všetky potrebné alebo  </w:t>
      </w:r>
    </w:p>
    <w:p w:rsidR="00556653" w:rsidRDefault="00556653" w:rsidP="00556653">
      <w:pPr>
        <w:pStyle w:val="Odsekzoznamu"/>
        <w:spacing w:line="240" w:lineRule="auto"/>
        <w:ind w:left="360"/>
        <w:jc w:val="both"/>
        <w:rPr>
          <w:rFonts w:ascii="Times New Roman" w:hAnsi="Times New Roman" w:cs="Times New Roman"/>
          <w:sz w:val="24"/>
          <w:szCs w:val="24"/>
        </w:rPr>
      </w:pPr>
      <w:r w:rsidRPr="00284CE8">
        <w:rPr>
          <w:rFonts w:ascii="Times New Roman" w:hAnsi="Times New Roman" w:cs="Times New Roman"/>
          <w:sz w:val="24"/>
          <w:szCs w:val="24"/>
        </w:rPr>
        <w:t>dohodnuté údaje (doklady, pokyny) alebo ich poskytuje nesprávne, neúplne alebo oneskorene alebo v inej než požadovanej alebo dohodnutej forme alebo opakovane nespláca riadne a včas svoje splatné peňažné záväzky za služby poskytované centrálnym depozitárom podľa zmluvy, alebo inak porušuje ustanovenia Prevádzkového poriadku, má sa za to, že zmluva bola porušená podstatným spôsobom.</w:t>
      </w:r>
    </w:p>
    <w:p w:rsidR="00556653" w:rsidRDefault="00556653" w:rsidP="00556653">
      <w:pPr>
        <w:pStyle w:val="Odsekzoznamu"/>
        <w:numPr>
          <w:ilvl w:val="0"/>
          <w:numId w:val="26"/>
        </w:numPr>
        <w:spacing w:line="240" w:lineRule="auto"/>
        <w:jc w:val="both"/>
        <w:rPr>
          <w:rFonts w:ascii="Times New Roman" w:hAnsi="Times New Roman" w:cs="Times New Roman"/>
          <w:sz w:val="24"/>
          <w:szCs w:val="24"/>
        </w:rPr>
      </w:pPr>
      <w:r w:rsidRPr="00556653">
        <w:rPr>
          <w:rFonts w:ascii="Times New Roman" w:hAnsi="Times New Roman" w:cs="Times New Roman"/>
          <w:sz w:val="24"/>
          <w:szCs w:val="24"/>
        </w:rPr>
        <w:t>Doručovanie: V prípade doručovania písomnosti podľa zmluvy prostredníctvom poštového podniku sa písomnosť považuje za doručenú dňom prijatia písomnosti zmluvnou stranou, ktorej je písomnosť adresovaná, resp. dňom, ktorý je uvedený na vrátenej zásielke ako deň odmietnutia prevziať písomnosť, resp. dňom vrátenia neprevzatej písomnosti odosielateľovi z iného dôvodu, t.j. bez ohľadu na úspešnosť doručenia, resp. bez ohľadu na to, či sa druhá zmluvná strana s písomnosťou oboznámila alebo nie.</w:t>
      </w:r>
    </w:p>
    <w:p w:rsidR="00556653" w:rsidRDefault="00556653" w:rsidP="00556653">
      <w:pPr>
        <w:pStyle w:val="Odsekzoznamu"/>
        <w:numPr>
          <w:ilvl w:val="0"/>
          <w:numId w:val="26"/>
        </w:numPr>
        <w:spacing w:line="240" w:lineRule="auto"/>
        <w:jc w:val="both"/>
        <w:rPr>
          <w:rFonts w:ascii="Times New Roman" w:hAnsi="Times New Roman" w:cs="Times New Roman"/>
          <w:sz w:val="24"/>
          <w:szCs w:val="24"/>
        </w:rPr>
      </w:pPr>
      <w:r w:rsidRPr="00556653">
        <w:rPr>
          <w:rFonts w:ascii="Times New Roman" w:hAnsi="Times New Roman" w:cs="Times New Roman"/>
          <w:sz w:val="24"/>
          <w:szCs w:val="24"/>
        </w:rPr>
        <w:t>Tieto obchodné podmienky predstavujú úplné znenie obchodných podmienok a tvoria neoddeliteľnú súčasť akejkoľvek Zmluvy o zriadení a vedení účtu majiteľa uzatvorenej medzi centrálny depozitárom a majiteľom účtu, vrátane jej dodatku.</w:t>
      </w:r>
    </w:p>
    <w:p w:rsidR="00556653" w:rsidRPr="00556653" w:rsidRDefault="00556653" w:rsidP="00556653">
      <w:pPr>
        <w:pStyle w:val="Odsekzoznamu"/>
        <w:numPr>
          <w:ilvl w:val="0"/>
          <w:numId w:val="26"/>
        </w:numPr>
        <w:spacing w:line="240" w:lineRule="auto"/>
        <w:jc w:val="both"/>
        <w:rPr>
          <w:rFonts w:ascii="Times New Roman" w:hAnsi="Times New Roman" w:cs="Times New Roman"/>
          <w:sz w:val="24"/>
          <w:szCs w:val="24"/>
        </w:rPr>
      </w:pPr>
      <w:r w:rsidRPr="00556653">
        <w:rPr>
          <w:rFonts w:ascii="Times New Roman" w:hAnsi="Times New Roman" w:cs="Times New Roman"/>
          <w:sz w:val="24"/>
          <w:szCs w:val="24"/>
        </w:rPr>
        <w:t>Tieto obchodné podmienky sa riadia právnym poriadkom Slovenskej republiky a nadobúdajú platnosť a účinnosť dňa 1.10.2015.</w:t>
      </w:r>
    </w:p>
    <w:p w:rsidR="00556653" w:rsidRPr="009726E2" w:rsidRDefault="00556653" w:rsidP="00556653">
      <w:pPr>
        <w:pStyle w:val="Odsekzoznamu"/>
        <w:spacing w:after="0" w:line="240" w:lineRule="auto"/>
        <w:ind w:left="360"/>
        <w:jc w:val="both"/>
        <w:rPr>
          <w:rFonts w:ascii="Times New Roman" w:hAnsi="Times New Roman" w:cs="Times New Roman"/>
        </w:rPr>
      </w:pPr>
    </w:p>
    <w:sectPr w:rsidR="00556653" w:rsidRPr="009726E2" w:rsidSect="00AB2DCB">
      <w:headerReference w:type="default" r:id="rId9"/>
      <w:footerReference w:type="default" r:id="rId10"/>
      <w:headerReference w:type="first" r:id="rId11"/>
      <w:footerReference w:type="first" r:id="rId12"/>
      <w:pgSz w:w="11906" w:h="16838"/>
      <w:pgMar w:top="1417" w:right="1417" w:bottom="1417" w:left="1417"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29F" w:rsidRDefault="006A729F" w:rsidP="00DC024F">
      <w:pPr>
        <w:spacing w:after="0" w:line="240" w:lineRule="auto"/>
      </w:pPr>
      <w:r>
        <w:separator/>
      </w:r>
    </w:p>
  </w:endnote>
  <w:endnote w:type="continuationSeparator" w:id="0">
    <w:p w:rsidR="006A729F" w:rsidRDefault="006A729F" w:rsidP="00DC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620168"/>
      <w:docPartObj>
        <w:docPartGallery w:val="Page Numbers (Bottom of Page)"/>
        <w:docPartUnique/>
      </w:docPartObj>
    </w:sdtPr>
    <w:sdtEndPr/>
    <w:sdtContent>
      <w:sdt>
        <w:sdtPr>
          <w:id w:val="860082579"/>
          <w:docPartObj>
            <w:docPartGallery w:val="Page Numbers (Top of Page)"/>
            <w:docPartUnique/>
          </w:docPartObj>
        </w:sdtPr>
        <w:sdtEndPr/>
        <w:sdtContent>
          <w:p w:rsidR="00AB2DCB" w:rsidRDefault="00AB2DCB" w:rsidP="00AB2DCB">
            <w:pPr>
              <w:pBdr>
                <w:bottom w:val="single" w:sz="12" w:space="1" w:color="auto"/>
              </w:pBdr>
              <w:tabs>
                <w:tab w:val="left" w:pos="3686"/>
                <w:tab w:val="left" w:pos="4395"/>
                <w:tab w:val="center" w:pos="5670"/>
                <w:tab w:val="left" w:pos="6521"/>
                <w:tab w:val="right" w:pos="9498"/>
              </w:tabs>
              <w:spacing w:after="0"/>
            </w:pPr>
          </w:p>
          <w:p w:rsidR="00AB2DCB" w:rsidRDefault="00AB2DCB" w:rsidP="00AB2DCB">
            <w:pPr>
              <w:tabs>
                <w:tab w:val="left" w:pos="3686"/>
                <w:tab w:val="left" w:pos="4395"/>
                <w:tab w:val="center" w:pos="5670"/>
                <w:tab w:val="left" w:pos="6521"/>
                <w:tab w:val="right" w:pos="9498"/>
              </w:tabs>
              <w:spacing w:after="0"/>
            </w:pPr>
          </w:p>
          <w:p w:rsidR="00AB2DCB" w:rsidRDefault="00AB2DCB" w:rsidP="00AB2DCB">
            <w:pPr>
              <w:tabs>
                <w:tab w:val="left" w:pos="3686"/>
                <w:tab w:val="left" w:pos="4395"/>
                <w:tab w:val="center" w:pos="5670"/>
                <w:tab w:val="left" w:pos="6521"/>
                <w:tab w:val="right" w:pos="9498"/>
              </w:tabs>
              <w:spacing w:after="0"/>
              <w:rPr>
                <w:color w:val="595959" w:themeColor="text1" w:themeTint="A6"/>
                <w:sz w:val="16"/>
                <w:szCs w:val="16"/>
                <w:lang w:eastAsia="cs-CZ"/>
              </w:rPr>
            </w:pPr>
            <w:r>
              <w:rPr>
                <w:color w:val="595959" w:themeColor="text1" w:themeTint="A6"/>
                <w:sz w:val="16"/>
                <w:szCs w:val="16"/>
                <w:lang w:eastAsia="cs-CZ"/>
              </w:rPr>
              <w:t>Centrálny depozitár cenných papierov SR, a.s.</w:t>
            </w:r>
            <w:r>
              <w:rPr>
                <w:color w:val="595959" w:themeColor="text1" w:themeTint="A6"/>
                <w:sz w:val="16"/>
                <w:szCs w:val="16"/>
                <w:lang w:eastAsia="cs-CZ"/>
              </w:rPr>
              <w:tab/>
            </w:r>
            <w:r>
              <w:rPr>
                <w:color w:val="595959" w:themeColor="text1" w:themeTint="A6"/>
                <w:sz w:val="16"/>
                <w:szCs w:val="16"/>
                <w:lang w:eastAsia="cs-CZ"/>
              </w:rPr>
              <w:tab/>
              <w:t>IČO: 31 338 976</w:t>
            </w:r>
            <w:r>
              <w:rPr>
                <w:color w:val="595959" w:themeColor="text1" w:themeTint="A6"/>
                <w:sz w:val="16"/>
                <w:szCs w:val="16"/>
                <w:lang w:eastAsia="cs-CZ"/>
              </w:rPr>
              <w:tab/>
            </w:r>
            <w:r>
              <w:rPr>
                <w:color w:val="595959" w:themeColor="text1" w:themeTint="A6"/>
                <w:sz w:val="16"/>
                <w:szCs w:val="16"/>
                <w:lang w:eastAsia="cs-CZ"/>
              </w:rPr>
              <w:tab/>
              <w:t>Bankové spojenie</w:t>
            </w:r>
          </w:p>
          <w:p w:rsidR="00AB2DCB" w:rsidRDefault="00AB2DCB" w:rsidP="00AB2DCB">
            <w:pPr>
              <w:tabs>
                <w:tab w:val="left" w:pos="3686"/>
                <w:tab w:val="left" w:pos="4395"/>
                <w:tab w:val="left" w:pos="4678"/>
                <w:tab w:val="left" w:pos="6237"/>
                <w:tab w:val="left" w:pos="6521"/>
                <w:tab w:val="right" w:pos="9498"/>
              </w:tabs>
              <w:spacing w:after="0"/>
              <w:rPr>
                <w:color w:val="595959" w:themeColor="text1" w:themeTint="A6"/>
                <w:sz w:val="16"/>
                <w:szCs w:val="16"/>
                <w:lang w:eastAsia="cs-CZ"/>
              </w:rPr>
            </w:pPr>
            <w:r>
              <w:rPr>
                <w:color w:val="595959" w:themeColor="text1" w:themeTint="A6"/>
                <w:sz w:val="16"/>
                <w:szCs w:val="16"/>
                <w:lang w:eastAsia="cs-CZ"/>
              </w:rPr>
              <w:t>ul. 29. Augusta 1/A, 814 80 Bratislava I</w:t>
            </w:r>
            <w:r>
              <w:rPr>
                <w:color w:val="595959" w:themeColor="text1" w:themeTint="A6"/>
                <w:sz w:val="16"/>
                <w:szCs w:val="16"/>
                <w:lang w:eastAsia="cs-CZ"/>
              </w:rPr>
              <w:tab/>
            </w:r>
            <w:r>
              <w:rPr>
                <w:color w:val="595959" w:themeColor="text1" w:themeTint="A6"/>
                <w:sz w:val="16"/>
                <w:szCs w:val="16"/>
                <w:lang w:eastAsia="cs-CZ"/>
              </w:rPr>
              <w:tab/>
              <w:t>DIČ: 2020312833</w:t>
            </w:r>
            <w:r>
              <w:rPr>
                <w:color w:val="595959" w:themeColor="text1" w:themeTint="A6"/>
                <w:sz w:val="16"/>
                <w:szCs w:val="16"/>
                <w:lang w:eastAsia="cs-CZ"/>
              </w:rPr>
              <w:tab/>
            </w:r>
            <w:r>
              <w:rPr>
                <w:color w:val="595959" w:themeColor="text1" w:themeTint="A6"/>
                <w:sz w:val="16"/>
                <w:szCs w:val="16"/>
                <w:lang w:eastAsia="cs-CZ"/>
              </w:rPr>
              <w:tab/>
            </w:r>
            <w:r w:rsidRPr="00FB7470">
              <w:rPr>
                <w:color w:val="595959" w:themeColor="text1" w:themeTint="A6"/>
                <w:sz w:val="16"/>
                <w:szCs w:val="16"/>
                <w:lang w:eastAsia="cs-CZ"/>
              </w:rPr>
              <w:t xml:space="preserve">TATRA </w:t>
            </w:r>
            <w:r>
              <w:rPr>
                <w:color w:val="595959" w:themeColor="text1" w:themeTint="A6"/>
                <w:sz w:val="16"/>
                <w:szCs w:val="16"/>
                <w:lang w:eastAsia="cs-CZ"/>
              </w:rPr>
              <w:t>BANKA, a.s.</w:t>
            </w:r>
          </w:p>
          <w:p w:rsidR="00AB2DCB" w:rsidRDefault="00AB2DCB" w:rsidP="00AB2DCB">
            <w:pPr>
              <w:tabs>
                <w:tab w:val="left" w:pos="3686"/>
                <w:tab w:val="left" w:pos="4395"/>
                <w:tab w:val="left" w:pos="4678"/>
                <w:tab w:val="left" w:pos="6521"/>
                <w:tab w:val="right" w:pos="9498"/>
              </w:tabs>
              <w:spacing w:after="0"/>
              <w:rPr>
                <w:color w:val="595959" w:themeColor="text1" w:themeTint="A6"/>
                <w:sz w:val="16"/>
                <w:szCs w:val="16"/>
                <w:lang w:eastAsia="cs-CZ"/>
              </w:rPr>
            </w:pPr>
            <w:r>
              <w:rPr>
                <w:color w:val="595959" w:themeColor="text1" w:themeTint="A6"/>
                <w:sz w:val="16"/>
                <w:szCs w:val="16"/>
                <w:lang w:eastAsia="cs-CZ"/>
              </w:rPr>
              <w:t>zapísaný v Obchodnom registri Okresného súdu Bratislava I</w:t>
            </w:r>
            <w:r>
              <w:rPr>
                <w:color w:val="595959" w:themeColor="text1" w:themeTint="A6"/>
                <w:sz w:val="16"/>
                <w:szCs w:val="16"/>
                <w:lang w:eastAsia="cs-CZ"/>
              </w:rPr>
              <w:tab/>
            </w:r>
            <w:r w:rsidRPr="00FB7470">
              <w:rPr>
                <w:color w:val="595959" w:themeColor="text1" w:themeTint="A6"/>
                <w:sz w:val="16"/>
                <w:szCs w:val="16"/>
                <w:lang w:eastAsia="cs-CZ"/>
              </w:rPr>
              <w:t>IČ DPH: SK2020312833</w:t>
            </w:r>
            <w:r>
              <w:rPr>
                <w:color w:val="595959" w:themeColor="text1" w:themeTint="A6"/>
                <w:sz w:val="16"/>
                <w:szCs w:val="16"/>
                <w:lang w:eastAsia="cs-CZ"/>
              </w:rPr>
              <w:tab/>
            </w:r>
            <w:r w:rsidRPr="00FB7470">
              <w:rPr>
                <w:color w:val="595959" w:themeColor="text1" w:themeTint="A6"/>
                <w:sz w:val="16"/>
                <w:szCs w:val="16"/>
                <w:lang w:eastAsia="cs-CZ"/>
              </w:rPr>
              <w:t>IBAN: SK87 1100 0000 002622003416</w:t>
            </w:r>
          </w:p>
          <w:p w:rsidR="00AB2DCB" w:rsidRDefault="00AB2DCB" w:rsidP="00AB2DCB">
            <w:pPr>
              <w:tabs>
                <w:tab w:val="left" w:pos="3686"/>
                <w:tab w:val="left" w:pos="4395"/>
                <w:tab w:val="left" w:pos="6521"/>
                <w:tab w:val="right" w:pos="9498"/>
              </w:tabs>
              <w:spacing w:after="0"/>
              <w:rPr>
                <w:color w:val="595959" w:themeColor="text1" w:themeTint="A6"/>
                <w:sz w:val="16"/>
                <w:szCs w:val="16"/>
                <w:lang w:eastAsia="cs-CZ"/>
              </w:rPr>
            </w:pPr>
            <w:r>
              <w:rPr>
                <w:color w:val="595959" w:themeColor="text1" w:themeTint="A6"/>
                <w:sz w:val="16"/>
                <w:szCs w:val="16"/>
                <w:lang w:eastAsia="cs-CZ"/>
              </w:rPr>
              <w:t>oddiel: Sa, vložka č. 493/B</w:t>
            </w:r>
            <w:r>
              <w:rPr>
                <w:color w:val="595959" w:themeColor="text1" w:themeTint="A6"/>
                <w:sz w:val="16"/>
                <w:szCs w:val="16"/>
                <w:lang w:eastAsia="cs-CZ"/>
              </w:rPr>
              <w:tab/>
            </w:r>
            <w:r>
              <w:rPr>
                <w:color w:val="595959" w:themeColor="text1" w:themeTint="A6"/>
                <w:sz w:val="16"/>
                <w:szCs w:val="16"/>
                <w:lang w:eastAsia="cs-CZ"/>
              </w:rPr>
              <w:tab/>
            </w:r>
            <w:hyperlink r:id="rId1" w:history="1">
              <w:r w:rsidRPr="00FB7470">
                <w:rPr>
                  <w:color w:val="595959" w:themeColor="text1" w:themeTint="A6"/>
                  <w:sz w:val="16"/>
                  <w:szCs w:val="16"/>
                  <w:u w:val="single"/>
                  <w:lang w:eastAsia="cs-CZ"/>
                </w:rPr>
                <w:t>www.cdcp.sk</w:t>
              </w:r>
            </w:hyperlink>
            <w:r>
              <w:rPr>
                <w:color w:val="595959" w:themeColor="text1" w:themeTint="A6"/>
                <w:sz w:val="16"/>
                <w:szCs w:val="16"/>
                <w:u w:val="single"/>
                <w:lang w:eastAsia="cs-CZ"/>
              </w:rPr>
              <w:t xml:space="preserve"> </w:t>
            </w:r>
            <w:r w:rsidRPr="00BA1288">
              <w:rPr>
                <w:color w:val="595959" w:themeColor="text1" w:themeTint="A6"/>
                <w:sz w:val="16"/>
                <w:szCs w:val="16"/>
                <w:lang w:eastAsia="cs-CZ"/>
              </w:rPr>
              <w:tab/>
            </w:r>
            <w:r w:rsidRPr="00FB7470">
              <w:rPr>
                <w:color w:val="595959" w:themeColor="text1" w:themeTint="A6"/>
                <w:sz w:val="16"/>
                <w:szCs w:val="16"/>
                <w:lang w:eastAsia="cs-CZ"/>
              </w:rPr>
              <w:t>BIC: TATRSKBX</w:t>
            </w:r>
          </w:p>
          <w:p w:rsidR="00AB2DCB" w:rsidRPr="009B2834" w:rsidRDefault="00AB2DCB" w:rsidP="00AB2DCB">
            <w:pPr>
              <w:tabs>
                <w:tab w:val="left" w:pos="4395"/>
                <w:tab w:val="right" w:pos="9072"/>
              </w:tabs>
              <w:spacing w:after="0"/>
              <w:rPr>
                <w:color w:val="595959" w:themeColor="text1" w:themeTint="A6"/>
                <w:sz w:val="16"/>
                <w:szCs w:val="16"/>
                <w:lang w:eastAsia="cs-CZ"/>
              </w:rPr>
            </w:pPr>
            <w:r>
              <w:rPr>
                <w:color w:val="595959" w:themeColor="text1" w:themeTint="A6"/>
                <w:sz w:val="16"/>
                <w:szCs w:val="16"/>
                <w:lang w:eastAsia="cs-CZ"/>
              </w:rPr>
              <w:t xml:space="preserve">Telefón: 00421/2/59395110 </w:t>
            </w:r>
            <w:r>
              <w:rPr>
                <w:color w:val="595959" w:themeColor="text1" w:themeTint="A6"/>
                <w:sz w:val="16"/>
                <w:szCs w:val="16"/>
                <w:lang w:eastAsia="cs-CZ"/>
              </w:rPr>
              <w:tab/>
              <w:t>Fax: 00421/2</w:t>
            </w:r>
            <w:r w:rsidRPr="00FB7470">
              <w:rPr>
                <w:color w:val="595959" w:themeColor="text1" w:themeTint="A6"/>
                <w:sz w:val="16"/>
                <w:szCs w:val="16"/>
                <w:lang w:eastAsia="cs-CZ"/>
              </w:rPr>
              <w:t>/ 5296 8755</w:t>
            </w:r>
          </w:p>
          <w:p w:rsidR="00AB2DCB" w:rsidRDefault="00AB2DCB">
            <w:pPr>
              <w:pStyle w:val="Pta"/>
              <w:jc w:val="right"/>
            </w:pPr>
          </w:p>
          <w:p w:rsidR="00AB2DCB" w:rsidRDefault="00AB2DCB">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sidR="00C1185F">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1185F">
              <w:rPr>
                <w:b/>
                <w:bCs/>
                <w:noProof/>
              </w:rPr>
              <w:t>6</w:t>
            </w:r>
            <w:r>
              <w:rPr>
                <w:b/>
                <w:bCs/>
                <w:sz w:val="24"/>
                <w:szCs w:val="24"/>
              </w:rPr>
              <w:fldChar w:fldCharType="end"/>
            </w:r>
          </w:p>
        </w:sdtContent>
      </w:sdt>
    </w:sdtContent>
  </w:sdt>
  <w:p w:rsidR="001711C3" w:rsidRPr="009726E2" w:rsidRDefault="001711C3">
    <w:pPr>
      <w:pStyle w:val="Pta"/>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653" w:rsidRDefault="00556653" w:rsidP="00556653">
    <w:pPr>
      <w:tabs>
        <w:tab w:val="left" w:pos="3686"/>
        <w:tab w:val="center" w:pos="4536"/>
        <w:tab w:val="left" w:pos="5954"/>
        <w:tab w:val="right" w:pos="9072"/>
      </w:tabs>
      <w:spacing w:after="0" w:line="240" w:lineRule="auto"/>
      <w:rPr>
        <w:rFonts w:ascii="Times New Roman" w:eastAsia="Times New Roman" w:hAnsi="Times New Roman" w:cs="Times New Roman"/>
        <w:color w:val="595959" w:themeColor="text1" w:themeTint="A6"/>
        <w:sz w:val="16"/>
        <w:szCs w:val="16"/>
        <w:lang w:eastAsia="cs-CZ"/>
      </w:rPr>
    </w:pPr>
  </w:p>
  <w:p w:rsidR="00556653" w:rsidRPr="00556653" w:rsidRDefault="00556653" w:rsidP="00556653">
    <w:pPr>
      <w:rPr>
        <w:color w:val="595959" w:themeColor="text1" w:themeTint="A6"/>
        <w:sz w:val="16"/>
        <w:szCs w:val="16"/>
      </w:rPr>
    </w:pPr>
    <w:r w:rsidRPr="00552249">
      <w:rPr>
        <w:noProof/>
        <w:lang w:eastAsia="sk-SK"/>
      </w:rPr>
      <mc:AlternateContent>
        <mc:Choice Requires="wps">
          <w:drawing>
            <wp:anchor distT="0" distB="0" distL="114300" distR="114300" simplePos="0" relativeHeight="251659264" behindDoc="0" locked="0" layoutInCell="1" allowOverlap="1" wp14:anchorId="6736C14A" wp14:editId="3AA22D6B">
              <wp:simplePos x="0" y="0"/>
              <wp:positionH relativeFrom="column">
                <wp:posOffset>-892175</wp:posOffset>
              </wp:positionH>
              <wp:positionV relativeFrom="paragraph">
                <wp:posOffset>228600</wp:posOffset>
              </wp:positionV>
              <wp:extent cx="7620000" cy="7620"/>
              <wp:effectExtent l="0" t="0" r="19050" b="30480"/>
              <wp:wrapNone/>
              <wp:docPr id="6" name="Rovná spojnica 6"/>
              <wp:cNvGraphicFramePr/>
              <a:graphic xmlns:a="http://schemas.openxmlformats.org/drawingml/2006/main">
                <a:graphicData uri="http://schemas.microsoft.com/office/word/2010/wordprocessingShape">
                  <wps:wsp>
                    <wps:cNvCnPr/>
                    <wps:spPr>
                      <a:xfrm>
                        <a:off x="0" y="0"/>
                        <a:ext cx="7620000" cy="762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25pt,18pt" to="529.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" strokecolor="#404040 [2429]"/>
          </w:pict>
        </mc:Fallback>
      </mc:AlternateContent>
    </w:r>
  </w:p>
  <w:p w:rsidR="00AB2DCB" w:rsidRDefault="00AB2DCB" w:rsidP="00AB2DCB">
    <w:pPr>
      <w:tabs>
        <w:tab w:val="left" w:pos="3686"/>
        <w:tab w:val="left" w:pos="4395"/>
        <w:tab w:val="center" w:pos="5670"/>
        <w:tab w:val="left" w:pos="6521"/>
        <w:tab w:val="right" w:pos="9498"/>
      </w:tabs>
      <w:spacing w:after="0"/>
      <w:rPr>
        <w:color w:val="595959" w:themeColor="text1" w:themeTint="A6"/>
        <w:sz w:val="16"/>
        <w:szCs w:val="16"/>
        <w:lang w:eastAsia="cs-CZ"/>
      </w:rPr>
    </w:pPr>
    <w:r>
      <w:rPr>
        <w:color w:val="595959" w:themeColor="text1" w:themeTint="A6"/>
        <w:sz w:val="16"/>
        <w:szCs w:val="16"/>
        <w:lang w:eastAsia="cs-CZ"/>
      </w:rPr>
      <w:t>Centrálny depozitár cenných papierov SR, a.s.</w:t>
    </w:r>
    <w:r>
      <w:rPr>
        <w:color w:val="595959" w:themeColor="text1" w:themeTint="A6"/>
        <w:sz w:val="16"/>
        <w:szCs w:val="16"/>
        <w:lang w:eastAsia="cs-CZ"/>
      </w:rPr>
      <w:tab/>
    </w:r>
    <w:r>
      <w:rPr>
        <w:color w:val="595959" w:themeColor="text1" w:themeTint="A6"/>
        <w:sz w:val="16"/>
        <w:szCs w:val="16"/>
        <w:lang w:eastAsia="cs-CZ"/>
      </w:rPr>
      <w:tab/>
      <w:t>IČO: 31 338 976</w:t>
    </w:r>
    <w:r>
      <w:rPr>
        <w:color w:val="595959" w:themeColor="text1" w:themeTint="A6"/>
        <w:sz w:val="16"/>
        <w:szCs w:val="16"/>
        <w:lang w:eastAsia="cs-CZ"/>
      </w:rPr>
      <w:tab/>
    </w:r>
    <w:r>
      <w:rPr>
        <w:color w:val="595959" w:themeColor="text1" w:themeTint="A6"/>
        <w:sz w:val="16"/>
        <w:szCs w:val="16"/>
        <w:lang w:eastAsia="cs-CZ"/>
      </w:rPr>
      <w:tab/>
      <w:t>Bankové spojenie</w:t>
    </w:r>
  </w:p>
  <w:p w:rsidR="00AB2DCB" w:rsidRDefault="00AB2DCB" w:rsidP="00AB2DCB">
    <w:pPr>
      <w:tabs>
        <w:tab w:val="left" w:pos="3686"/>
        <w:tab w:val="left" w:pos="4395"/>
        <w:tab w:val="left" w:pos="4678"/>
        <w:tab w:val="left" w:pos="6237"/>
        <w:tab w:val="left" w:pos="6521"/>
        <w:tab w:val="right" w:pos="9498"/>
      </w:tabs>
      <w:spacing w:after="0"/>
      <w:rPr>
        <w:color w:val="595959" w:themeColor="text1" w:themeTint="A6"/>
        <w:sz w:val="16"/>
        <w:szCs w:val="16"/>
        <w:lang w:eastAsia="cs-CZ"/>
      </w:rPr>
    </w:pPr>
    <w:r>
      <w:rPr>
        <w:color w:val="595959" w:themeColor="text1" w:themeTint="A6"/>
        <w:sz w:val="16"/>
        <w:szCs w:val="16"/>
        <w:lang w:eastAsia="cs-CZ"/>
      </w:rPr>
      <w:t>ul. 29. Augusta 1/A, 814 80 Bratislava I</w:t>
    </w:r>
    <w:r>
      <w:rPr>
        <w:color w:val="595959" w:themeColor="text1" w:themeTint="A6"/>
        <w:sz w:val="16"/>
        <w:szCs w:val="16"/>
        <w:lang w:eastAsia="cs-CZ"/>
      </w:rPr>
      <w:tab/>
    </w:r>
    <w:r>
      <w:rPr>
        <w:color w:val="595959" w:themeColor="text1" w:themeTint="A6"/>
        <w:sz w:val="16"/>
        <w:szCs w:val="16"/>
        <w:lang w:eastAsia="cs-CZ"/>
      </w:rPr>
      <w:tab/>
      <w:t>DIČ: 2020312833</w:t>
    </w:r>
    <w:r>
      <w:rPr>
        <w:color w:val="595959" w:themeColor="text1" w:themeTint="A6"/>
        <w:sz w:val="16"/>
        <w:szCs w:val="16"/>
        <w:lang w:eastAsia="cs-CZ"/>
      </w:rPr>
      <w:tab/>
    </w:r>
    <w:r>
      <w:rPr>
        <w:color w:val="595959" w:themeColor="text1" w:themeTint="A6"/>
        <w:sz w:val="16"/>
        <w:szCs w:val="16"/>
        <w:lang w:eastAsia="cs-CZ"/>
      </w:rPr>
      <w:tab/>
    </w:r>
    <w:r w:rsidRPr="00FB7470">
      <w:rPr>
        <w:color w:val="595959" w:themeColor="text1" w:themeTint="A6"/>
        <w:sz w:val="16"/>
        <w:szCs w:val="16"/>
        <w:lang w:eastAsia="cs-CZ"/>
      </w:rPr>
      <w:t xml:space="preserve">TATRA </w:t>
    </w:r>
    <w:r>
      <w:rPr>
        <w:color w:val="595959" w:themeColor="text1" w:themeTint="A6"/>
        <w:sz w:val="16"/>
        <w:szCs w:val="16"/>
        <w:lang w:eastAsia="cs-CZ"/>
      </w:rPr>
      <w:t>BANKA, a.s.</w:t>
    </w:r>
  </w:p>
  <w:p w:rsidR="00AB2DCB" w:rsidRDefault="00AB2DCB" w:rsidP="00AB2DCB">
    <w:pPr>
      <w:tabs>
        <w:tab w:val="left" w:pos="3686"/>
        <w:tab w:val="left" w:pos="4395"/>
        <w:tab w:val="left" w:pos="4678"/>
        <w:tab w:val="left" w:pos="6521"/>
        <w:tab w:val="right" w:pos="9498"/>
      </w:tabs>
      <w:spacing w:after="0"/>
      <w:rPr>
        <w:color w:val="595959" w:themeColor="text1" w:themeTint="A6"/>
        <w:sz w:val="16"/>
        <w:szCs w:val="16"/>
        <w:lang w:eastAsia="cs-CZ"/>
      </w:rPr>
    </w:pPr>
    <w:r>
      <w:rPr>
        <w:color w:val="595959" w:themeColor="text1" w:themeTint="A6"/>
        <w:sz w:val="16"/>
        <w:szCs w:val="16"/>
        <w:lang w:eastAsia="cs-CZ"/>
      </w:rPr>
      <w:t>zapísaný v Obchodnom registri Okresného súdu Bratislava I</w:t>
    </w:r>
    <w:r>
      <w:rPr>
        <w:color w:val="595959" w:themeColor="text1" w:themeTint="A6"/>
        <w:sz w:val="16"/>
        <w:szCs w:val="16"/>
        <w:lang w:eastAsia="cs-CZ"/>
      </w:rPr>
      <w:tab/>
    </w:r>
    <w:r w:rsidRPr="00FB7470">
      <w:rPr>
        <w:color w:val="595959" w:themeColor="text1" w:themeTint="A6"/>
        <w:sz w:val="16"/>
        <w:szCs w:val="16"/>
        <w:lang w:eastAsia="cs-CZ"/>
      </w:rPr>
      <w:t>IČ DPH: SK2020312833</w:t>
    </w:r>
    <w:r>
      <w:rPr>
        <w:color w:val="595959" w:themeColor="text1" w:themeTint="A6"/>
        <w:sz w:val="16"/>
        <w:szCs w:val="16"/>
        <w:lang w:eastAsia="cs-CZ"/>
      </w:rPr>
      <w:tab/>
    </w:r>
    <w:r w:rsidRPr="00FB7470">
      <w:rPr>
        <w:color w:val="595959" w:themeColor="text1" w:themeTint="A6"/>
        <w:sz w:val="16"/>
        <w:szCs w:val="16"/>
        <w:lang w:eastAsia="cs-CZ"/>
      </w:rPr>
      <w:t>IBAN: SK87 1100 0000 002622003416</w:t>
    </w:r>
  </w:p>
  <w:p w:rsidR="00AB2DCB" w:rsidRDefault="00AB2DCB" w:rsidP="00AB2DCB">
    <w:pPr>
      <w:tabs>
        <w:tab w:val="left" w:pos="3686"/>
        <w:tab w:val="left" w:pos="4395"/>
        <w:tab w:val="left" w:pos="6521"/>
        <w:tab w:val="right" w:pos="9498"/>
      </w:tabs>
      <w:spacing w:after="0"/>
      <w:rPr>
        <w:color w:val="595959" w:themeColor="text1" w:themeTint="A6"/>
        <w:sz w:val="16"/>
        <w:szCs w:val="16"/>
        <w:lang w:eastAsia="cs-CZ"/>
      </w:rPr>
    </w:pPr>
    <w:r>
      <w:rPr>
        <w:color w:val="595959" w:themeColor="text1" w:themeTint="A6"/>
        <w:sz w:val="16"/>
        <w:szCs w:val="16"/>
        <w:lang w:eastAsia="cs-CZ"/>
      </w:rPr>
      <w:t>oddiel: Sa, vložka č. 493/B</w:t>
    </w:r>
    <w:r>
      <w:rPr>
        <w:color w:val="595959" w:themeColor="text1" w:themeTint="A6"/>
        <w:sz w:val="16"/>
        <w:szCs w:val="16"/>
        <w:lang w:eastAsia="cs-CZ"/>
      </w:rPr>
      <w:tab/>
    </w:r>
    <w:r>
      <w:rPr>
        <w:color w:val="595959" w:themeColor="text1" w:themeTint="A6"/>
        <w:sz w:val="16"/>
        <w:szCs w:val="16"/>
        <w:lang w:eastAsia="cs-CZ"/>
      </w:rPr>
      <w:tab/>
    </w:r>
    <w:hyperlink r:id="rId1" w:history="1">
      <w:r w:rsidRPr="00FB7470">
        <w:rPr>
          <w:color w:val="595959" w:themeColor="text1" w:themeTint="A6"/>
          <w:sz w:val="16"/>
          <w:szCs w:val="16"/>
          <w:u w:val="single"/>
          <w:lang w:eastAsia="cs-CZ"/>
        </w:rPr>
        <w:t>www.cdcp.sk</w:t>
      </w:r>
    </w:hyperlink>
    <w:r>
      <w:rPr>
        <w:color w:val="595959" w:themeColor="text1" w:themeTint="A6"/>
        <w:sz w:val="16"/>
        <w:szCs w:val="16"/>
        <w:u w:val="single"/>
        <w:lang w:eastAsia="cs-CZ"/>
      </w:rPr>
      <w:t xml:space="preserve"> </w:t>
    </w:r>
    <w:r w:rsidRPr="00BA1288">
      <w:rPr>
        <w:color w:val="595959" w:themeColor="text1" w:themeTint="A6"/>
        <w:sz w:val="16"/>
        <w:szCs w:val="16"/>
        <w:lang w:eastAsia="cs-CZ"/>
      </w:rPr>
      <w:tab/>
    </w:r>
    <w:r w:rsidRPr="00FB7470">
      <w:rPr>
        <w:color w:val="595959" w:themeColor="text1" w:themeTint="A6"/>
        <w:sz w:val="16"/>
        <w:szCs w:val="16"/>
        <w:lang w:eastAsia="cs-CZ"/>
      </w:rPr>
      <w:t>BIC: TATRSKBX</w:t>
    </w:r>
  </w:p>
  <w:p w:rsidR="00AB2DCB" w:rsidRPr="009B2834" w:rsidRDefault="00AB2DCB" w:rsidP="00AB2DCB">
    <w:pPr>
      <w:tabs>
        <w:tab w:val="left" w:pos="4395"/>
        <w:tab w:val="right" w:pos="9072"/>
      </w:tabs>
      <w:spacing w:after="0"/>
      <w:rPr>
        <w:color w:val="595959" w:themeColor="text1" w:themeTint="A6"/>
        <w:sz w:val="16"/>
        <w:szCs w:val="16"/>
        <w:lang w:eastAsia="cs-CZ"/>
      </w:rPr>
    </w:pPr>
    <w:r>
      <w:rPr>
        <w:color w:val="595959" w:themeColor="text1" w:themeTint="A6"/>
        <w:sz w:val="16"/>
        <w:szCs w:val="16"/>
        <w:lang w:eastAsia="cs-CZ"/>
      </w:rPr>
      <w:t xml:space="preserve">Telefón: 00421/2/59395110 </w:t>
    </w:r>
    <w:r>
      <w:rPr>
        <w:color w:val="595959" w:themeColor="text1" w:themeTint="A6"/>
        <w:sz w:val="16"/>
        <w:szCs w:val="16"/>
        <w:lang w:eastAsia="cs-CZ"/>
      </w:rPr>
      <w:tab/>
      <w:t>Fax: 00421/2</w:t>
    </w:r>
    <w:r w:rsidRPr="00FB7470">
      <w:rPr>
        <w:color w:val="595959" w:themeColor="text1" w:themeTint="A6"/>
        <w:sz w:val="16"/>
        <w:szCs w:val="16"/>
        <w:lang w:eastAsia="cs-CZ"/>
      </w:rPr>
      <w:t>/ 5296 8755</w:t>
    </w:r>
  </w:p>
  <w:p w:rsidR="00556653" w:rsidRDefault="00556653" w:rsidP="00556653">
    <w:pPr>
      <w:tabs>
        <w:tab w:val="left" w:pos="3686"/>
        <w:tab w:val="center" w:pos="4536"/>
        <w:tab w:val="left" w:pos="5954"/>
        <w:tab w:val="right" w:pos="9072"/>
      </w:tabs>
      <w:spacing w:after="0" w:line="240" w:lineRule="auto"/>
      <w:rPr>
        <w:rFonts w:ascii="Times New Roman" w:eastAsia="Times New Roman" w:hAnsi="Times New Roman" w:cs="Times New Roman"/>
        <w:color w:val="595959" w:themeColor="text1" w:themeTint="A6"/>
        <w:sz w:val="16"/>
        <w:szCs w:val="16"/>
        <w:lang w:eastAsia="cs-CZ"/>
      </w:rPr>
    </w:pPr>
  </w:p>
  <w:p w:rsidR="00556653" w:rsidRDefault="0055665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29F" w:rsidRDefault="006A729F" w:rsidP="00DC024F">
      <w:pPr>
        <w:spacing w:after="0" w:line="240" w:lineRule="auto"/>
      </w:pPr>
      <w:r>
        <w:separator/>
      </w:r>
    </w:p>
  </w:footnote>
  <w:footnote w:type="continuationSeparator" w:id="0">
    <w:p w:rsidR="006A729F" w:rsidRDefault="006A729F" w:rsidP="00DC0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4F" w:rsidRPr="00DC024F" w:rsidRDefault="00DC024F" w:rsidP="00DC024F">
    <w:pPr>
      <w:jc w:val="right"/>
      <w:rPr>
        <w:rFonts w:ascii="Arial Black" w:hAnsi="Arial Black" w:cs="Times New Roman"/>
        <w:color w:val="000000" w:themeColor="text1"/>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E71" w:rsidRDefault="00967E71" w:rsidP="00967E71">
    <w:pPr>
      <w:pStyle w:val="Hlavika"/>
      <w:jc w:val="center"/>
    </w:pPr>
    <w:r>
      <w:rPr>
        <w:noProof/>
        <w:lang w:eastAsia="sk-SK"/>
      </w:rPr>
      <w:drawing>
        <wp:inline distT="0" distB="0" distL="0" distR="0" wp14:anchorId="0945E30F" wp14:editId="592478AF">
          <wp:extent cx="998220" cy="906780"/>
          <wp:effectExtent l="0" t="0" r="0" b="762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8220" cy="906780"/>
                  </a:xfrm>
                  <a:prstGeom prst="rect">
                    <a:avLst/>
                  </a:prstGeom>
                  <a:noFill/>
                  <a:ln>
                    <a:noFill/>
                  </a:ln>
                </pic:spPr>
              </pic:pic>
            </a:graphicData>
          </a:graphic>
        </wp:inline>
      </w:drawing>
    </w:r>
  </w:p>
  <w:p w:rsidR="00967E71" w:rsidRDefault="00967E7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C95"/>
    <w:multiLevelType w:val="multilevel"/>
    <w:tmpl w:val="077ED586"/>
    <w:lvl w:ilvl="0">
      <w:start w:val="7"/>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BC24DDD"/>
    <w:multiLevelType w:val="hybridMultilevel"/>
    <w:tmpl w:val="B1AEDA0A"/>
    <w:lvl w:ilvl="0" w:tplc="12080F7A">
      <w:start w:val="1"/>
      <w:numFmt w:val="decimal"/>
      <w:lvlText w:val="7.%1"/>
      <w:lvlJc w:val="left"/>
      <w:pPr>
        <w:ind w:left="36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CBF310D"/>
    <w:multiLevelType w:val="hybridMultilevel"/>
    <w:tmpl w:val="1504B460"/>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
    <w:nsid w:val="0D790138"/>
    <w:multiLevelType w:val="hybridMultilevel"/>
    <w:tmpl w:val="BE52D32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11BA45DE"/>
    <w:multiLevelType w:val="hybridMultilevel"/>
    <w:tmpl w:val="24CACFEE"/>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nsid w:val="2019226D"/>
    <w:multiLevelType w:val="hybridMultilevel"/>
    <w:tmpl w:val="C9E010DC"/>
    <w:lvl w:ilvl="0" w:tplc="4B7A10EA">
      <w:start w:val="1"/>
      <w:numFmt w:val="decimal"/>
      <w:lvlText w:val="2.%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2CBD780A"/>
    <w:multiLevelType w:val="hybridMultilevel"/>
    <w:tmpl w:val="562C687A"/>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7">
    <w:nsid w:val="335C1752"/>
    <w:multiLevelType w:val="hybridMultilevel"/>
    <w:tmpl w:val="8F1EF24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nsid w:val="33766E77"/>
    <w:multiLevelType w:val="hybridMultilevel"/>
    <w:tmpl w:val="C5144B1E"/>
    <w:lvl w:ilvl="0" w:tplc="99A60FC8">
      <w:start w:val="1"/>
      <w:numFmt w:val="decimal"/>
      <w:lvlText w:val="4.%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357E6464"/>
    <w:multiLevelType w:val="hybridMultilevel"/>
    <w:tmpl w:val="5D7AAD7C"/>
    <w:lvl w:ilvl="0" w:tplc="270E92E8">
      <w:start w:val="1"/>
      <w:numFmt w:val="decimal"/>
      <w:lvlText w:val="3.%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3C194542"/>
    <w:multiLevelType w:val="singleLevel"/>
    <w:tmpl w:val="6D0E2D3A"/>
    <w:lvl w:ilvl="0">
      <w:start w:val="1"/>
      <w:numFmt w:val="lowerLetter"/>
      <w:lvlText w:val="%1)"/>
      <w:lvlJc w:val="left"/>
      <w:pPr>
        <w:tabs>
          <w:tab w:val="num" w:pos="360"/>
        </w:tabs>
        <w:ind w:left="360" w:hanging="360"/>
      </w:pPr>
      <w:rPr>
        <w:rFonts w:hint="default"/>
      </w:rPr>
    </w:lvl>
  </w:abstractNum>
  <w:abstractNum w:abstractNumId="11">
    <w:nsid w:val="4086290B"/>
    <w:multiLevelType w:val="multilevel"/>
    <w:tmpl w:val="9F645D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3DA41E8"/>
    <w:multiLevelType w:val="multilevel"/>
    <w:tmpl w:val="DAD471A6"/>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440" w:hanging="1080"/>
      </w:pPr>
      <w:rPr>
        <w:rFonts w:hint="default"/>
      </w:rPr>
    </w:lvl>
  </w:abstractNum>
  <w:abstractNum w:abstractNumId="13">
    <w:nsid w:val="44273CE2"/>
    <w:multiLevelType w:val="hybridMultilevel"/>
    <w:tmpl w:val="ED5682A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7664ADB"/>
    <w:multiLevelType w:val="multilevel"/>
    <w:tmpl w:val="99F84C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8F47361"/>
    <w:multiLevelType w:val="hybridMultilevel"/>
    <w:tmpl w:val="49DA8678"/>
    <w:lvl w:ilvl="0" w:tplc="7A80F38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nsid w:val="4CA46CF9"/>
    <w:multiLevelType w:val="hybridMultilevel"/>
    <w:tmpl w:val="E632A992"/>
    <w:lvl w:ilvl="0" w:tplc="C6F09F36">
      <w:start w:val="1"/>
      <w:numFmt w:val="decimal"/>
      <w:lvlText w:val="1.%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5B146576"/>
    <w:multiLevelType w:val="hybridMultilevel"/>
    <w:tmpl w:val="55F891C6"/>
    <w:lvl w:ilvl="0" w:tplc="4B7A10EA">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E9D066C"/>
    <w:multiLevelType w:val="hybridMultilevel"/>
    <w:tmpl w:val="223A62BC"/>
    <w:lvl w:ilvl="0" w:tplc="13EA5EF8">
      <w:start w:val="1"/>
      <w:numFmt w:val="decimal"/>
      <w:lvlText w:val="6.%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15724A2"/>
    <w:multiLevelType w:val="hybridMultilevel"/>
    <w:tmpl w:val="C55E503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1AB1CF6"/>
    <w:multiLevelType w:val="hybridMultilevel"/>
    <w:tmpl w:val="5FAE1CDE"/>
    <w:lvl w:ilvl="0" w:tplc="E03294E8">
      <w:start w:val="1"/>
      <w:numFmt w:val="decimal"/>
      <w:lvlText w:val="7.%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nsid w:val="654969C3"/>
    <w:multiLevelType w:val="hybridMultilevel"/>
    <w:tmpl w:val="93046F44"/>
    <w:lvl w:ilvl="0" w:tplc="B1DAA622">
      <w:start w:val="1"/>
      <w:numFmt w:val="lowerLetter"/>
      <w:lvlText w:val="%1)"/>
      <w:lvlJc w:val="left"/>
      <w:pPr>
        <w:tabs>
          <w:tab w:val="num" w:pos="720"/>
        </w:tabs>
        <w:ind w:left="720" w:hanging="360"/>
      </w:pPr>
      <w:rPr>
        <w:rFonts w:hint="default"/>
      </w:rPr>
    </w:lvl>
    <w:lvl w:ilvl="1" w:tplc="E526A9B8">
      <w:start w:val="5"/>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nsid w:val="658439EB"/>
    <w:multiLevelType w:val="hybridMultilevel"/>
    <w:tmpl w:val="8D7EBC1C"/>
    <w:lvl w:ilvl="0" w:tplc="BFE68E90">
      <w:start w:val="1"/>
      <w:numFmt w:val="decimal"/>
      <w:lvlText w:val="%1."/>
      <w:lvlJc w:val="left"/>
      <w:pPr>
        <w:ind w:left="360" w:hanging="360"/>
      </w:pPr>
      <w:rPr>
        <w:rFonts w:hint="default"/>
      </w:rPr>
    </w:lvl>
    <w:lvl w:ilvl="1" w:tplc="96C44CFA">
      <w:start w:val="1"/>
      <w:numFmt w:val="decimal"/>
      <w:lvlText w:val="1.%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6CA53783"/>
    <w:multiLevelType w:val="hybridMultilevel"/>
    <w:tmpl w:val="CF9415F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4">
    <w:nsid w:val="6E7376D2"/>
    <w:multiLevelType w:val="hybridMultilevel"/>
    <w:tmpl w:val="C95AF75C"/>
    <w:lvl w:ilvl="0" w:tplc="3104C388">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5">
    <w:nsid w:val="71006CA4"/>
    <w:multiLevelType w:val="hybridMultilevel"/>
    <w:tmpl w:val="384054F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nsid w:val="77BE0A34"/>
    <w:multiLevelType w:val="singleLevel"/>
    <w:tmpl w:val="041B000F"/>
    <w:lvl w:ilvl="0">
      <w:start w:val="1"/>
      <w:numFmt w:val="decimal"/>
      <w:lvlText w:val="%1."/>
      <w:lvlJc w:val="left"/>
      <w:pPr>
        <w:tabs>
          <w:tab w:val="num" w:pos="360"/>
        </w:tabs>
        <w:ind w:left="360" w:hanging="360"/>
      </w:pPr>
      <w:rPr>
        <w:rFonts w:hint="default"/>
      </w:rPr>
    </w:lvl>
  </w:abstractNum>
  <w:abstractNum w:abstractNumId="27">
    <w:nsid w:val="78E132F9"/>
    <w:multiLevelType w:val="hybridMultilevel"/>
    <w:tmpl w:val="B23E89D2"/>
    <w:lvl w:ilvl="0" w:tplc="96C44CFA">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EF008DA"/>
    <w:multiLevelType w:val="hybridMultilevel"/>
    <w:tmpl w:val="6A140798"/>
    <w:lvl w:ilvl="0" w:tplc="D4CE9462">
      <w:start w:val="1"/>
      <w:numFmt w:val="decimal"/>
      <w:lvlText w:val="5.%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12"/>
  </w:num>
  <w:num w:numId="3">
    <w:abstractNumId w:val="24"/>
  </w:num>
  <w:num w:numId="4">
    <w:abstractNumId w:val="6"/>
  </w:num>
  <w:num w:numId="5">
    <w:abstractNumId w:val="10"/>
  </w:num>
  <w:num w:numId="6">
    <w:abstractNumId w:val="15"/>
  </w:num>
  <w:num w:numId="7">
    <w:abstractNumId w:val="11"/>
  </w:num>
  <w:num w:numId="8">
    <w:abstractNumId w:val="21"/>
  </w:num>
  <w:num w:numId="9">
    <w:abstractNumId w:val="2"/>
  </w:num>
  <w:num w:numId="10">
    <w:abstractNumId w:val="23"/>
  </w:num>
  <w:num w:numId="11">
    <w:abstractNumId w:val="14"/>
  </w:num>
  <w:num w:numId="12">
    <w:abstractNumId w:val="26"/>
  </w:num>
  <w:num w:numId="13">
    <w:abstractNumId w:val="19"/>
  </w:num>
  <w:num w:numId="14">
    <w:abstractNumId w:val="4"/>
  </w:num>
  <w:num w:numId="15">
    <w:abstractNumId w:val="17"/>
  </w:num>
  <w:num w:numId="16">
    <w:abstractNumId w:val="22"/>
  </w:num>
  <w:num w:numId="17">
    <w:abstractNumId w:val="16"/>
  </w:num>
  <w:num w:numId="18">
    <w:abstractNumId w:val="27"/>
  </w:num>
  <w:num w:numId="19">
    <w:abstractNumId w:val="7"/>
  </w:num>
  <w:num w:numId="20">
    <w:abstractNumId w:val="5"/>
  </w:num>
  <w:num w:numId="21">
    <w:abstractNumId w:val="9"/>
  </w:num>
  <w:num w:numId="22">
    <w:abstractNumId w:val="3"/>
  </w:num>
  <w:num w:numId="23">
    <w:abstractNumId w:val="8"/>
  </w:num>
  <w:num w:numId="24">
    <w:abstractNumId w:val="28"/>
  </w:num>
  <w:num w:numId="25">
    <w:abstractNumId w:val="18"/>
  </w:num>
  <w:num w:numId="26">
    <w:abstractNumId w:val="1"/>
  </w:num>
  <w:num w:numId="27">
    <w:abstractNumId w:val="0"/>
  </w:num>
  <w:num w:numId="28">
    <w:abstractNumId w:val="25"/>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jGRxYxIcjZdk1tdlksJOAE4o5ls=" w:salt="bfeKAxDQ3dsMpy1zmxMxp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07D"/>
    <w:rsid w:val="00025A92"/>
    <w:rsid w:val="0007107D"/>
    <w:rsid w:val="00073EA2"/>
    <w:rsid w:val="000B3BC3"/>
    <w:rsid w:val="000D3047"/>
    <w:rsid w:val="000F230C"/>
    <w:rsid w:val="000F2925"/>
    <w:rsid w:val="000F2A1E"/>
    <w:rsid w:val="0011790F"/>
    <w:rsid w:val="001354E8"/>
    <w:rsid w:val="00146034"/>
    <w:rsid w:val="001711C3"/>
    <w:rsid w:val="001A329C"/>
    <w:rsid w:val="001C7D3A"/>
    <w:rsid w:val="001E31AB"/>
    <w:rsid w:val="0024770B"/>
    <w:rsid w:val="002A6DEE"/>
    <w:rsid w:val="002A7CD5"/>
    <w:rsid w:val="002B6DB3"/>
    <w:rsid w:val="002D46ED"/>
    <w:rsid w:val="003210F3"/>
    <w:rsid w:val="00365B19"/>
    <w:rsid w:val="003A51D3"/>
    <w:rsid w:val="003A57A1"/>
    <w:rsid w:val="00423136"/>
    <w:rsid w:val="004B1838"/>
    <w:rsid w:val="004C13E8"/>
    <w:rsid w:val="004F0889"/>
    <w:rsid w:val="004F7721"/>
    <w:rsid w:val="00533E76"/>
    <w:rsid w:val="0054588B"/>
    <w:rsid w:val="00556653"/>
    <w:rsid w:val="005B4597"/>
    <w:rsid w:val="00621F5B"/>
    <w:rsid w:val="006A729F"/>
    <w:rsid w:val="006A7DF0"/>
    <w:rsid w:val="006B0A40"/>
    <w:rsid w:val="007044B4"/>
    <w:rsid w:val="0072563A"/>
    <w:rsid w:val="007529CD"/>
    <w:rsid w:val="00795C43"/>
    <w:rsid w:val="007A040C"/>
    <w:rsid w:val="007A2D25"/>
    <w:rsid w:val="007B6D23"/>
    <w:rsid w:val="00820BA5"/>
    <w:rsid w:val="008B0D89"/>
    <w:rsid w:val="008F4784"/>
    <w:rsid w:val="00967E71"/>
    <w:rsid w:val="009726E2"/>
    <w:rsid w:val="00977389"/>
    <w:rsid w:val="00A33E2B"/>
    <w:rsid w:val="00A571E9"/>
    <w:rsid w:val="00AB0E7B"/>
    <w:rsid w:val="00AB2DCB"/>
    <w:rsid w:val="00B306B4"/>
    <w:rsid w:val="00B74593"/>
    <w:rsid w:val="00BA41E6"/>
    <w:rsid w:val="00BA4FEA"/>
    <w:rsid w:val="00BC338F"/>
    <w:rsid w:val="00BD45E1"/>
    <w:rsid w:val="00BE3213"/>
    <w:rsid w:val="00C1185F"/>
    <w:rsid w:val="00C60614"/>
    <w:rsid w:val="00D057A2"/>
    <w:rsid w:val="00D4015F"/>
    <w:rsid w:val="00D57B1A"/>
    <w:rsid w:val="00DB5851"/>
    <w:rsid w:val="00DC024F"/>
    <w:rsid w:val="00E06B18"/>
    <w:rsid w:val="00E24925"/>
    <w:rsid w:val="00E50239"/>
    <w:rsid w:val="00E97A7D"/>
    <w:rsid w:val="00ED7547"/>
    <w:rsid w:val="00F01D0B"/>
    <w:rsid w:val="00F12F92"/>
    <w:rsid w:val="00F14DA4"/>
    <w:rsid w:val="00F165F1"/>
    <w:rsid w:val="00FA1B0E"/>
    <w:rsid w:val="00FD59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E31AB"/>
  </w:style>
  <w:style w:type="paragraph" w:styleId="Nadpis2">
    <w:name w:val="heading 2"/>
    <w:basedOn w:val="Normlny"/>
    <w:next w:val="Normlny"/>
    <w:link w:val="Nadpis2Char"/>
    <w:uiPriority w:val="9"/>
    <w:unhideWhenUsed/>
    <w:qFormat/>
    <w:rsid w:val="00DC024F"/>
    <w:pPr>
      <w:keepNext/>
      <w:keepLines/>
      <w:spacing w:before="200" w:after="0"/>
      <w:outlineLvl w:val="1"/>
    </w:pPr>
    <w:rPr>
      <w:rFonts w:asciiTheme="majorHAnsi" w:eastAsiaTheme="majorEastAsia" w:hAnsiTheme="majorHAnsi" w:cstheme="majorBidi"/>
      <w:b/>
      <w:bCs/>
      <w:color w:val="4C7563"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6B0A40"/>
    <w:pPr>
      <w:spacing w:after="0" w:line="240" w:lineRule="auto"/>
      <w:jc w:val="both"/>
    </w:pPr>
    <w:rPr>
      <w:rFonts w:ascii="Tahoma" w:eastAsia="Times New Roman" w:hAnsi="Tahoma" w:cs="Tahoma"/>
      <w:sz w:val="24"/>
      <w:szCs w:val="24"/>
      <w:lang w:eastAsia="sk-SK"/>
    </w:rPr>
  </w:style>
  <w:style w:type="character" w:customStyle="1" w:styleId="ZkladntextChar">
    <w:name w:val="Základný text Char"/>
    <w:basedOn w:val="Predvolenpsmoodseku"/>
    <w:link w:val="Zkladntext"/>
    <w:semiHidden/>
    <w:rsid w:val="006B0A40"/>
    <w:rPr>
      <w:rFonts w:ascii="Tahoma" w:eastAsia="Times New Roman" w:hAnsi="Tahoma" w:cs="Tahoma"/>
      <w:sz w:val="24"/>
      <w:szCs w:val="24"/>
      <w:lang w:eastAsia="sk-SK"/>
    </w:rPr>
  </w:style>
  <w:style w:type="paragraph" w:styleId="Odsekzoznamu">
    <w:name w:val="List Paragraph"/>
    <w:basedOn w:val="Normlny"/>
    <w:uiPriority w:val="34"/>
    <w:qFormat/>
    <w:rsid w:val="0054588B"/>
    <w:pPr>
      <w:ind w:left="720"/>
      <w:contextualSpacing/>
    </w:pPr>
  </w:style>
  <w:style w:type="paragraph" w:styleId="Zarkazkladnhotextu">
    <w:name w:val="Body Text Indent"/>
    <w:basedOn w:val="Normlny"/>
    <w:link w:val="ZarkazkladnhotextuChar"/>
    <w:unhideWhenUsed/>
    <w:rsid w:val="00423136"/>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423136"/>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365B19"/>
    <w:rPr>
      <w:color w:val="CCCC00" w:themeColor="hyperlink"/>
      <w:u w:val="single"/>
    </w:rPr>
  </w:style>
  <w:style w:type="paragraph" w:styleId="Hlavika">
    <w:name w:val="header"/>
    <w:basedOn w:val="Normlny"/>
    <w:link w:val="HlavikaChar"/>
    <w:uiPriority w:val="99"/>
    <w:unhideWhenUsed/>
    <w:rsid w:val="00DC024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C024F"/>
  </w:style>
  <w:style w:type="paragraph" w:styleId="Pta">
    <w:name w:val="footer"/>
    <w:basedOn w:val="Normlny"/>
    <w:link w:val="PtaChar"/>
    <w:uiPriority w:val="99"/>
    <w:unhideWhenUsed/>
    <w:rsid w:val="00DC024F"/>
    <w:pPr>
      <w:tabs>
        <w:tab w:val="center" w:pos="4536"/>
        <w:tab w:val="right" w:pos="9072"/>
      </w:tabs>
      <w:spacing w:after="0" w:line="240" w:lineRule="auto"/>
    </w:pPr>
  </w:style>
  <w:style w:type="character" w:customStyle="1" w:styleId="PtaChar">
    <w:name w:val="Päta Char"/>
    <w:basedOn w:val="Predvolenpsmoodseku"/>
    <w:link w:val="Pta"/>
    <w:uiPriority w:val="99"/>
    <w:rsid w:val="00DC024F"/>
  </w:style>
  <w:style w:type="paragraph" w:styleId="Textbubliny">
    <w:name w:val="Balloon Text"/>
    <w:basedOn w:val="Normlny"/>
    <w:link w:val="TextbublinyChar"/>
    <w:uiPriority w:val="99"/>
    <w:semiHidden/>
    <w:unhideWhenUsed/>
    <w:rsid w:val="00DC024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C024F"/>
    <w:rPr>
      <w:rFonts w:ascii="Tahoma" w:hAnsi="Tahoma" w:cs="Tahoma"/>
      <w:sz w:val="16"/>
      <w:szCs w:val="16"/>
    </w:rPr>
  </w:style>
  <w:style w:type="character" w:customStyle="1" w:styleId="Nadpis2Char">
    <w:name w:val="Nadpis 2 Char"/>
    <w:basedOn w:val="Predvolenpsmoodseku"/>
    <w:link w:val="Nadpis2"/>
    <w:uiPriority w:val="9"/>
    <w:rsid w:val="00DC024F"/>
    <w:rPr>
      <w:rFonts w:asciiTheme="majorHAnsi" w:eastAsiaTheme="majorEastAsia" w:hAnsiTheme="majorHAnsi" w:cstheme="majorBidi"/>
      <w:b/>
      <w:bCs/>
      <w:color w:val="4C7563"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E31AB"/>
  </w:style>
  <w:style w:type="paragraph" w:styleId="Nadpis2">
    <w:name w:val="heading 2"/>
    <w:basedOn w:val="Normlny"/>
    <w:next w:val="Normlny"/>
    <w:link w:val="Nadpis2Char"/>
    <w:uiPriority w:val="9"/>
    <w:unhideWhenUsed/>
    <w:qFormat/>
    <w:rsid w:val="00DC024F"/>
    <w:pPr>
      <w:keepNext/>
      <w:keepLines/>
      <w:spacing w:before="200" w:after="0"/>
      <w:outlineLvl w:val="1"/>
    </w:pPr>
    <w:rPr>
      <w:rFonts w:asciiTheme="majorHAnsi" w:eastAsiaTheme="majorEastAsia" w:hAnsiTheme="majorHAnsi" w:cstheme="majorBidi"/>
      <w:b/>
      <w:bCs/>
      <w:color w:val="4C7563"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6B0A40"/>
    <w:pPr>
      <w:spacing w:after="0" w:line="240" w:lineRule="auto"/>
      <w:jc w:val="both"/>
    </w:pPr>
    <w:rPr>
      <w:rFonts w:ascii="Tahoma" w:eastAsia="Times New Roman" w:hAnsi="Tahoma" w:cs="Tahoma"/>
      <w:sz w:val="24"/>
      <w:szCs w:val="24"/>
      <w:lang w:eastAsia="sk-SK"/>
    </w:rPr>
  </w:style>
  <w:style w:type="character" w:customStyle="1" w:styleId="ZkladntextChar">
    <w:name w:val="Základný text Char"/>
    <w:basedOn w:val="Predvolenpsmoodseku"/>
    <w:link w:val="Zkladntext"/>
    <w:semiHidden/>
    <w:rsid w:val="006B0A40"/>
    <w:rPr>
      <w:rFonts w:ascii="Tahoma" w:eastAsia="Times New Roman" w:hAnsi="Tahoma" w:cs="Tahoma"/>
      <w:sz w:val="24"/>
      <w:szCs w:val="24"/>
      <w:lang w:eastAsia="sk-SK"/>
    </w:rPr>
  </w:style>
  <w:style w:type="paragraph" w:styleId="Odsekzoznamu">
    <w:name w:val="List Paragraph"/>
    <w:basedOn w:val="Normlny"/>
    <w:uiPriority w:val="34"/>
    <w:qFormat/>
    <w:rsid w:val="0054588B"/>
    <w:pPr>
      <w:ind w:left="720"/>
      <w:contextualSpacing/>
    </w:pPr>
  </w:style>
  <w:style w:type="paragraph" w:styleId="Zarkazkladnhotextu">
    <w:name w:val="Body Text Indent"/>
    <w:basedOn w:val="Normlny"/>
    <w:link w:val="ZarkazkladnhotextuChar"/>
    <w:unhideWhenUsed/>
    <w:rsid w:val="00423136"/>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423136"/>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365B19"/>
    <w:rPr>
      <w:color w:val="CCCC00" w:themeColor="hyperlink"/>
      <w:u w:val="single"/>
    </w:rPr>
  </w:style>
  <w:style w:type="paragraph" w:styleId="Hlavika">
    <w:name w:val="header"/>
    <w:basedOn w:val="Normlny"/>
    <w:link w:val="HlavikaChar"/>
    <w:uiPriority w:val="99"/>
    <w:unhideWhenUsed/>
    <w:rsid w:val="00DC024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C024F"/>
  </w:style>
  <w:style w:type="paragraph" w:styleId="Pta">
    <w:name w:val="footer"/>
    <w:basedOn w:val="Normlny"/>
    <w:link w:val="PtaChar"/>
    <w:uiPriority w:val="99"/>
    <w:unhideWhenUsed/>
    <w:rsid w:val="00DC024F"/>
    <w:pPr>
      <w:tabs>
        <w:tab w:val="center" w:pos="4536"/>
        <w:tab w:val="right" w:pos="9072"/>
      </w:tabs>
      <w:spacing w:after="0" w:line="240" w:lineRule="auto"/>
    </w:pPr>
  </w:style>
  <w:style w:type="character" w:customStyle="1" w:styleId="PtaChar">
    <w:name w:val="Päta Char"/>
    <w:basedOn w:val="Predvolenpsmoodseku"/>
    <w:link w:val="Pta"/>
    <w:uiPriority w:val="99"/>
    <w:rsid w:val="00DC024F"/>
  </w:style>
  <w:style w:type="paragraph" w:styleId="Textbubliny">
    <w:name w:val="Balloon Text"/>
    <w:basedOn w:val="Normlny"/>
    <w:link w:val="TextbublinyChar"/>
    <w:uiPriority w:val="99"/>
    <w:semiHidden/>
    <w:unhideWhenUsed/>
    <w:rsid w:val="00DC024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C024F"/>
    <w:rPr>
      <w:rFonts w:ascii="Tahoma" w:hAnsi="Tahoma" w:cs="Tahoma"/>
      <w:sz w:val="16"/>
      <w:szCs w:val="16"/>
    </w:rPr>
  </w:style>
  <w:style w:type="character" w:customStyle="1" w:styleId="Nadpis2Char">
    <w:name w:val="Nadpis 2 Char"/>
    <w:basedOn w:val="Predvolenpsmoodseku"/>
    <w:link w:val="Nadpis2"/>
    <w:uiPriority w:val="9"/>
    <w:rsid w:val="00DC024F"/>
    <w:rPr>
      <w:rFonts w:asciiTheme="majorHAnsi" w:eastAsiaTheme="majorEastAsia" w:hAnsiTheme="majorHAnsi" w:cstheme="majorBidi"/>
      <w:b/>
      <w:bCs/>
      <w:color w:val="4C7563"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p.s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Basilka">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2689</Words>
  <Characters>15333</Characters>
  <Application>Microsoft Office Word</Application>
  <DocSecurity>8</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Centrálny depozitár cenných papierov SR, a.s.</Company>
  <LinksUpToDate>false</LinksUpToDate>
  <CharactersWithSpaces>17987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Hozzová Vladimíra Mgr.</cp:lastModifiedBy>
  <cp:revision>5</cp:revision>
  <cp:lastPrinted>2015-09-29T11:29:00Z</cp:lastPrinted>
  <dcterms:created xsi:type="dcterms:W3CDTF">2015-09-29T11:29:00Z</dcterms:created>
  <dcterms:modified xsi:type="dcterms:W3CDTF">2017-08-14T10:41:00Z</dcterms:modified>
</cp:coreProperties>
</file>