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72C" w:rsidRPr="0024372C" w:rsidRDefault="0024372C" w:rsidP="00695947">
      <w:pPr>
        <w:ind w:firstLine="0"/>
      </w:pPr>
    </w:p>
    <w:p w:rsidR="00806626" w:rsidRPr="0000039D" w:rsidRDefault="000860D2" w:rsidP="00865BD7">
      <w:pPr>
        <w:pStyle w:val="Nadpis1"/>
        <w:spacing w:before="0" w:after="0"/>
        <w:jc w:val="center"/>
        <w:rPr>
          <w:sz w:val="26"/>
          <w:szCs w:val="26"/>
        </w:rPr>
      </w:pPr>
      <w:r w:rsidRPr="0000039D">
        <w:rPr>
          <w:sz w:val="26"/>
          <w:szCs w:val="26"/>
        </w:rPr>
        <w:t>FORM</w:t>
      </w:r>
      <w:r w:rsidR="00D20F94" w:rsidRPr="0000039D">
        <w:rPr>
          <w:sz w:val="26"/>
          <w:szCs w:val="26"/>
        </w:rPr>
        <w:t xml:space="preserve"> </w:t>
      </w:r>
      <w:r w:rsidR="00A641EF" w:rsidRPr="0000039D">
        <w:rPr>
          <w:sz w:val="26"/>
          <w:szCs w:val="26"/>
        </w:rPr>
        <w:t>F</w:t>
      </w:r>
      <w:r w:rsidR="001F113B" w:rsidRPr="0000039D">
        <w:rPr>
          <w:sz w:val="26"/>
          <w:szCs w:val="26"/>
        </w:rPr>
        <w:t>2</w:t>
      </w:r>
    </w:p>
    <w:p w:rsidR="00FB584A" w:rsidRPr="00265D1F" w:rsidRDefault="00265D1F" w:rsidP="00865BD7">
      <w:pPr>
        <w:pStyle w:val="Nadpis1"/>
        <w:spacing w:before="0" w:after="0"/>
        <w:jc w:val="center"/>
        <w:rPr>
          <w:b w:val="0"/>
          <w:i/>
          <w:sz w:val="20"/>
          <w:szCs w:val="20"/>
        </w:rPr>
      </w:pPr>
      <w:r w:rsidRPr="00265D1F">
        <w:rPr>
          <w:caps/>
          <w:sz w:val="26"/>
          <w:szCs w:val="26"/>
        </w:rPr>
        <w:t>ŽIADOSŤ O ZMENU ÚDAJOV O PRÁVNI</w:t>
      </w:r>
      <w:r>
        <w:rPr>
          <w:caps/>
          <w:sz w:val="26"/>
          <w:szCs w:val="26"/>
        </w:rPr>
        <w:t xml:space="preserve">CKEJ OSOBE, PRE KTORÚ JE V CDCP </w:t>
      </w:r>
      <w:r w:rsidRPr="00265D1F">
        <w:rPr>
          <w:caps/>
          <w:sz w:val="26"/>
          <w:szCs w:val="26"/>
        </w:rPr>
        <w:t>VEDENÝ ÚČET</w:t>
      </w:r>
      <w:r w:rsidR="00D20F94">
        <w:rPr>
          <w:caps/>
          <w:sz w:val="28"/>
          <w:szCs w:val="26"/>
        </w:rPr>
        <w:br/>
      </w:r>
      <w:r w:rsidR="00D20F94" w:rsidRPr="00265D1F">
        <w:rPr>
          <w:i/>
        </w:rPr>
        <w:t>(</w:t>
      </w:r>
      <w:r w:rsidR="007108C5" w:rsidRPr="000E4E3E">
        <w:rPr>
          <w:i/>
        </w:rPr>
        <w:t>REQUEST</w:t>
      </w:r>
      <w:r w:rsidRPr="00265D1F">
        <w:rPr>
          <w:i/>
        </w:rPr>
        <w:t xml:space="preserve"> FOR CHANGE OF DATA ON LEGAL PERSON FOR WHICH CDCP MANAGES AN ACCOUNT</w:t>
      </w:r>
      <w:r w:rsidR="00D20F94" w:rsidRPr="00265D1F">
        <w:rPr>
          <w:i/>
        </w:rPr>
        <w:t>)</w:t>
      </w:r>
      <w:r w:rsidR="001F113B" w:rsidRPr="0000039D">
        <w:rPr>
          <w:b w:val="0"/>
          <w:i/>
          <w:sz w:val="20"/>
          <w:szCs w:val="20"/>
        </w:rPr>
        <w:t xml:space="preserve"> </w:t>
      </w:r>
    </w:p>
    <w:p w:rsidR="00D93AF7" w:rsidRDefault="00D93AF7" w:rsidP="0024372C">
      <w:pPr>
        <w:ind w:firstLine="0"/>
        <w:jc w:val="both"/>
      </w:pPr>
    </w:p>
    <w:tbl>
      <w:tblPr>
        <w:tblStyle w:val="Mriekatabuky"/>
        <w:tblW w:w="0" w:type="auto"/>
        <w:jc w:val="right"/>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2371"/>
      </w:tblGrid>
      <w:tr w:rsidR="004E5E4B" w:rsidTr="00CD7681">
        <w:trPr>
          <w:trHeight w:val="340"/>
          <w:jc w:val="right"/>
        </w:trPr>
        <w:tc>
          <w:tcPr>
            <w:tcW w:w="5920"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D20F94" w:rsidRPr="0078054F" w:rsidRDefault="00265D1F" w:rsidP="00EF0FD3">
            <w:pPr>
              <w:ind w:firstLine="0"/>
              <w:rPr>
                <w:b/>
                <w:lang w:val="en-GB"/>
              </w:rPr>
            </w:pPr>
            <w:r w:rsidRPr="0078054F">
              <w:rPr>
                <w:b/>
                <w:lang w:val="en-GB"/>
              </w:rPr>
              <w:t xml:space="preserve">Túto tabuľku vyplňuje CDCP po poskytnutí služby </w:t>
            </w:r>
          </w:p>
          <w:p w:rsidR="004E5E4B" w:rsidRPr="0078054F" w:rsidRDefault="00D20F94" w:rsidP="00265D1F">
            <w:pPr>
              <w:ind w:firstLine="0"/>
              <w:rPr>
                <w:b/>
                <w:i/>
                <w:sz w:val="20"/>
                <w:szCs w:val="20"/>
              </w:rPr>
            </w:pPr>
            <w:r w:rsidRPr="0078054F">
              <w:rPr>
                <w:b/>
                <w:i/>
                <w:sz w:val="20"/>
                <w:szCs w:val="20"/>
              </w:rPr>
              <w:t>(</w:t>
            </w:r>
            <w:r w:rsidR="00265D1F" w:rsidRPr="0078054F">
              <w:rPr>
                <w:b/>
                <w:i/>
                <w:sz w:val="20"/>
                <w:szCs w:val="20"/>
              </w:rPr>
              <w:t>CDCP shall fill in this table after provision of the service</w:t>
            </w:r>
            <w:r w:rsidRPr="0078054F">
              <w:rPr>
                <w:b/>
                <w:i/>
                <w:sz w:val="20"/>
                <w:szCs w:val="20"/>
              </w:rPr>
              <w:t>)</w:t>
            </w:r>
          </w:p>
        </w:tc>
      </w:tr>
      <w:tr w:rsidR="004E5E4B" w:rsidTr="00CD7681">
        <w:trPr>
          <w:trHeight w:val="340"/>
          <w:jc w:val="right"/>
        </w:trPr>
        <w:tc>
          <w:tcPr>
            <w:tcW w:w="3549" w:type="dxa"/>
            <w:tcBorders>
              <w:top w:val="single" w:sz="12" w:space="0" w:color="4C7563" w:themeColor="accent1"/>
            </w:tcBorders>
            <w:shd w:val="clear" w:color="auto" w:fill="D8E6DF" w:themeFill="accent1" w:themeFillTint="33"/>
          </w:tcPr>
          <w:p w:rsidR="004E5E4B" w:rsidRPr="008F438F" w:rsidRDefault="004E5E4B" w:rsidP="00053535">
            <w:pPr>
              <w:ind w:firstLine="0"/>
              <w:rPr>
                <w:i/>
                <w:szCs w:val="24"/>
              </w:rPr>
            </w:pPr>
            <w:r w:rsidRPr="008F438F">
              <w:rPr>
                <w:i/>
                <w:szCs w:val="24"/>
              </w:rPr>
              <w:t>Kód služby</w:t>
            </w:r>
          </w:p>
        </w:tc>
        <w:tc>
          <w:tcPr>
            <w:tcW w:w="2371" w:type="dxa"/>
            <w:tcBorders>
              <w:top w:val="single" w:sz="12" w:space="0" w:color="4C7563" w:themeColor="accent1"/>
            </w:tcBorders>
          </w:tcPr>
          <w:p w:rsidR="004E5E4B" w:rsidRPr="008F438F" w:rsidRDefault="00CA2196" w:rsidP="001F113B">
            <w:pPr>
              <w:ind w:firstLine="0"/>
              <w:rPr>
                <w:i/>
              </w:rPr>
            </w:pPr>
            <w:r>
              <w:rPr>
                <w:i/>
              </w:rPr>
              <w:t>SUDA.003</w:t>
            </w:r>
          </w:p>
        </w:tc>
      </w:tr>
      <w:tr w:rsidR="00BB4846" w:rsidTr="00CD7681">
        <w:trPr>
          <w:trHeight w:val="340"/>
          <w:jc w:val="right"/>
        </w:trPr>
        <w:tc>
          <w:tcPr>
            <w:tcW w:w="3549" w:type="dxa"/>
            <w:shd w:val="clear" w:color="auto" w:fill="D8E6DF" w:themeFill="accent1" w:themeFillTint="33"/>
          </w:tcPr>
          <w:p w:rsidR="00BB4846" w:rsidRPr="00BB4846" w:rsidRDefault="00BB4846" w:rsidP="004E5E4B">
            <w:pPr>
              <w:ind w:firstLine="0"/>
              <w:rPr>
                <w:i/>
                <w:szCs w:val="24"/>
              </w:rPr>
            </w:pPr>
            <w:r w:rsidRPr="00BB4846">
              <w:rPr>
                <w:i/>
                <w:szCs w:val="24"/>
              </w:rPr>
              <w:t>Pagina</w:t>
            </w:r>
          </w:p>
        </w:tc>
        <w:tc>
          <w:tcPr>
            <w:tcW w:w="2371" w:type="dxa"/>
          </w:tcPr>
          <w:p w:rsidR="00BB4846" w:rsidRPr="00BE22FA" w:rsidRDefault="00BB4846" w:rsidP="000A3713">
            <w:pPr>
              <w:ind w:firstLine="0"/>
              <w:rPr>
                <w:i/>
              </w:rPr>
            </w:pPr>
          </w:p>
        </w:tc>
      </w:tr>
      <w:tr w:rsidR="004E5E4B" w:rsidTr="00CD7681">
        <w:trPr>
          <w:trHeight w:val="340"/>
          <w:jc w:val="right"/>
        </w:trPr>
        <w:tc>
          <w:tcPr>
            <w:tcW w:w="3549" w:type="dxa"/>
            <w:shd w:val="clear" w:color="auto" w:fill="D8E6DF" w:themeFill="accent1" w:themeFillTint="33"/>
          </w:tcPr>
          <w:p w:rsidR="004E5E4B" w:rsidRPr="008F438F" w:rsidRDefault="008F438F" w:rsidP="00053535">
            <w:pPr>
              <w:ind w:firstLine="0"/>
              <w:rPr>
                <w:i/>
                <w:szCs w:val="24"/>
              </w:rPr>
            </w:pPr>
            <w:r w:rsidRPr="008F438F">
              <w:rPr>
                <w:i/>
                <w:szCs w:val="24"/>
              </w:rPr>
              <w:t>Dátum spracovania</w:t>
            </w:r>
          </w:p>
        </w:tc>
        <w:tc>
          <w:tcPr>
            <w:tcW w:w="2371" w:type="dxa"/>
          </w:tcPr>
          <w:p w:rsidR="004E5E4B" w:rsidRPr="008F438F" w:rsidRDefault="004E5E4B" w:rsidP="000A3713">
            <w:pPr>
              <w:ind w:firstLine="0"/>
              <w:rPr>
                <w:i/>
              </w:rPr>
            </w:pPr>
          </w:p>
        </w:tc>
      </w:tr>
      <w:tr w:rsidR="004E5E4B" w:rsidTr="00CD7681">
        <w:trPr>
          <w:trHeight w:val="340"/>
          <w:jc w:val="right"/>
        </w:trPr>
        <w:tc>
          <w:tcPr>
            <w:tcW w:w="3549" w:type="dxa"/>
            <w:shd w:val="clear" w:color="auto" w:fill="D8E6DF" w:themeFill="accent1" w:themeFillTint="33"/>
          </w:tcPr>
          <w:p w:rsidR="004E5E4B" w:rsidRPr="008F438F" w:rsidRDefault="008F438F" w:rsidP="0000196D">
            <w:pPr>
              <w:ind w:firstLine="0"/>
              <w:rPr>
                <w:i/>
                <w:szCs w:val="24"/>
              </w:rPr>
            </w:pPr>
            <w:r w:rsidRPr="008F438F">
              <w:rPr>
                <w:i/>
                <w:szCs w:val="24"/>
              </w:rPr>
              <w:t xml:space="preserve">Registračné číslo subjektu </w:t>
            </w:r>
            <w:r w:rsidR="001F113B">
              <w:rPr>
                <w:i/>
                <w:szCs w:val="24"/>
              </w:rPr>
              <w:t>–</w:t>
            </w:r>
            <w:r w:rsidRPr="008F438F">
              <w:rPr>
                <w:i/>
                <w:szCs w:val="24"/>
              </w:rPr>
              <w:t xml:space="preserve"> </w:t>
            </w:r>
            <w:r w:rsidR="005F109F">
              <w:rPr>
                <w:i/>
                <w:szCs w:val="24"/>
              </w:rPr>
              <w:t>majiteľ</w:t>
            </w:r>
            <w:r w:rsidR="001F113B">
              <w:rPr>
                <w:i/>
                <w:szCs w:val="24"/>
              </w:rPr>
              <w:t>/účastník</w:t>
            </w:r>
          </w:p>
        </w:tc>
        <w:tc>
          <w:tcPr>
            <w:tcW w:w="2371" w:type="dxa"/>
          </w:tcPr>
          <w:p w:rsidR="004E5E4B" w:rsidRPr="008F438F" w:rsidRDefault="004E5E4B" w:rsidP="000A3713">
            <w:pPr>
              <w:ind w:firstLine="0"/>
              <w:rPr>
                <w:i/>
              </w:rPr>
            </w:pPr>
          </w:p>
        </w:tc>
      </w:tr>
    </w:tbl>
    <w:p w:rsidR="001F113B" w:rsidRDefault="001F113B" w:rsidP="00456310"/>
    <w:p w:rsidR="00F24D6B" w:rsidRPr="007F52FC" w:rsidRDefault="00265D1F" w:rsidP="002D465F">
      <w:pPr>
        <w:pStyle w:val="Nadpis1"/>
        <w:numPr>
          <w:ilvl w:val="0"/>
          <w:numId w:val="14"/>
        </w:numPr>
        <w:spacing w:before="0"/>
        <w:ind w:left="284" w:hanging="284"/>
        <w:rPr>
          <w:sz w:val="26"/>
          <w:szCs w:val="26"/>
        </w:rPr>
      </w:pPr>
      <w:r w:rsidRPr="00265D1F">
        <w:rPr>
          <w:szCs w:val="26"/>
        </w:rPr>
        <w:t>ÚDAJE KLIENTA</w:t>
      </w:r>
      <w:r w:rsidR="00D20F94">
        <w:rPr>
          <w:szCs w:val="26"/>
        </w:rPr>
        <w:t xml:space="preserve"> </w:t>
      </w:r>
      <w:r w:rsidR="00D20F94" w:rsidRPr="00265D1F">
        <w:rPr>
          <w:i/>
          <w:sz w:val="22"/>
          <w:szCs w:val="22"/>
        </w:rPr>
        <w:t>(</w:t>
      </w:r>
      <w:r w:rsidRPr="00265D1F">
        <w:rPr>
          <w:i/>
          <w:sz w:val="22"/>
          <w:szCs w:val="22"/>
        </w:rPr>
        <w:t>CLIENT DATA</w:t>
      </w:r>
      <w:r w:rsidR="00D20F94" w:rsidRPr="00265D1F">
        <w:rPr>
          <w:i/>
          <w:sz w:val="22"/>
          <w:szCs w:val="22"/>
        </w:rPr>
        <w:t>)</w:t>
      </w:r>
    </w:p>
    <w:p w:rsidR="000A083C" w:rsidRDefault="000A083C"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284"/>
        <w:gridCol w:w="3285"/>
        <w:gridCol w:w="3285"/>
      </w:tblGrid>
      <w:tr w:rsidR="00CD7681" w:rsidTr="00CD7681">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7681" w:rsidRPr="00265D1F" w:rsidRDefault="00CD7681" w:rsidP="00CD7681">
            <w:pPr>
              <w:pStyle w:val="Odsekzoznamu"/>
              <w:numPr>
                <w:ilvl w:val="0"/>
                <w:numId w:val="15"/>
              </w:numPr>
              <w:ind w:left="426" w:hanging="426"/>
            </w:pPr>
            <w:r w:rsidRPr="005801CB">
              <w:rPr>
                <w:b/>
              </w:rPr>
              <w:t>Pôvodné (zaregistrované) identifikačné údaje</w:t>
            </w:r>
            <w:r>
              <w:rPr>
                <w:b/>
              </w:rPr>
              <w:t xml:space="preserve"> majiteľa účtu</w:t>
            </w:r>
            <w:r w:rsidRPr="00D20F94">
              <w:rPr>
                <w:b/>
                <w:lang w:val="en-GB"/>
              </w:rPr>
              <w:t xml:space="preserve"> </w:t>
            </w:r>
          </w:p>
          <w:p w:rsidR="00CD7681" w:rsidRDefault="00CD7681" w:rsidP="00CD7681">
            <w:pPr>
              <w:pStyle w:val="Odsekzoznamu"/>
              <w:ind w:left="426" w:firstLine="0"/>
            </w:pPr>
            <w:r w:rsidRPr="00265D1F">
              <w:rPr>
                <w:b/>
                <w:i/>
                <w:sz w:val="20"/>
                <w:szCs w:val="20"/>
                <w:lang w:val="en-GB"/>
              </w:rPr>
              <w:t>(Original (registered) identification data on the account holder)</w:t>
            </w:r>
          </w:p>
        </w:tc>
      </w:tr>
      <w:tr w:rsidR="00CD7681" w:rsidTr="00CD7681">
        <w:trPr>
          <w:trHeight w:val="340"/>
        </w:trPr>
        <w:tc>
          <w:tcPr>
            <w:tcW w:w="3284" w:type="dxa"/>
            <w:tcBorders>
              <w:top w:val="single" w:sz="12" w:space="0" w:color="4C7563" w:themeColor="accent1"/>
            </w:tcBorders>
            <w:shd w:val="clear" w:color="auto" w:fill="D8E6DF" w:themeFill="accent1" w:themeFillTint="33"/>
          </w:tcPr>
          <w:p w:rsidR="00CD7681" w:rsidRPr="00207A52" w:rsidRDefault="00CD7681" w:rsidP="00CD7681">
            <w:pPr>
              <w:ind w:firstLine="0"/>
              <w:rPr>
                <w:szCs w:val="24"/>
              </w:rPr>
            </w:pPr>
            <w:r>
              <w:rPr>
                <w:szCs w:val="24"/>
                <w:lang w:val="en-GB"/>
              </w:rPr>
              <w:t xml:space="preserve">Názov </w:t>
            </w:r>
            <w:r w:rsidRPr="00265D1F">
              <w:rPr>
                <w:i/>
                <w:sz w:val="20"/>
                <w:szCs w:val="20"/>
                <w:lang w:val="en-GB"/>
              </w:rPr>
              <w:t>(Trade name)</w:t>
            </w:r>
          </w:p>
        </w:tc>
        <w:tc>
          <w:tcPr>
            <w:tcW w:w="6570" w:type="dxa"/>
            <w:gridSpan w:val="2"/>
            <w:tcBorders>
              <w:top w:val="single" w:sz="12" w:space="0" w:color="4C7563" w:themeColor="accent1"/>
              <w:bottom w:val="single" w:sz="12" w:space="0" w:color="4C7563" w:themeColor="accent1"/>
            </w:tcBorders>
            <w:shd w:val="clear" w:color="auto" w:fill="FFFFFF" w:themeFill="background1"/>
          </w:tcPr>
          <w:sdt>
            <w:sdtPr>
              <w:id w:val="-1278947009"/>
              <w:showingPlcHdr/>
            </w:sdtPr>
            <w:sdtEndPr/>
            <w:sdtContent>
              <w:bookmarkStart w:id="0" w:name="_GoBack" w:displacedByCustomXml="prev"/>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bookmarkEnd w:id="0" w:displacedByCustomXml="next"/>
            </w:sdtContent>
          </w:sdt>
        </w:tc>
      </w:tr>
      <w:tr w:rsidR="00CD7681" w:rsidTr="00CD7681">
        <w:trPr>
          <w:trHeight w:val="340"/>
        </w:trPr>
        <w:tc>
          <w:tcPr>
            <w:tcW w:w="3284" w:type="dxa"/>
            <w:shd w:val="clear" w:color="auto" w:fill="D8E6DF" w:themeFill="accent1" w:themeFillTint="33"/>
          </w:tcPr>
          <w:p w:rsidR="00CD7681" w:rsidRPr="00207A52" w:rsidRDefault="00CD7681" w:rsidP="00CD7681">
            <w:pPr>
              <w:ind w:firstLine="0"/>
              <w:rPr>
                <w:szCs w:val="24"/>
              </w:rPr>
            </w:pPr>
            <w:r>
              <w:rPr>
                <w:szCs w:val="24"/>
                <w:lang w:val="en-GB"/>
              </w:rPr>
              <w:t xml:space="preserve">Sídlo </w:t>
            </w:r>
            <w:r w:rsidRPr="00265D1F">
              <w:rPr>
                <w:i/>
                <w:sz w:val="20"/>
                <w:szCs w:val="20"/>
                <w:lang w:val="en-GB"/>
              </w:rPr>
              <w:t>(Registered address)</w:t>
            </w:r>
            <w:r>
              <w:rPr>
                <w:i/>
                <w:sz w:val="20"/>
                <w:szCs w:val="20"/>
                <w:lang w:val="en-GB"/>
              </w:rPr>
              <w:t xml:space="preserve"> </w:t>
            </w:r>
            <w:r>
              <w:rPr>
                <w:rStyle w:val="Odkaznavysvetlivku"/>
                <w:szCs w:val="24"/>
              </w:rPr>
              <w:endnoteReference w:id="1"/>
            </w:r>
          </w:p>
        </w:tc>
        <w:tc>
          <w:tcPr>
            <w:tcW w:w="6570" w:type="dxa"/>
            <w:gridSpan w:val="2"/>
            <w:shd w:val="clear" w:color="auto" w:fill="auto"/>
          </w:tcPr>
          <w:sdt>
            <w:sdtPr>
              <w:id w:val="1863864168"/>
              <w:showingPlcHdr/>
            </w:sdtPr>
            <w:sdtEndPr/>
            <w:sdtContent>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tc>
          <w:tcPr>
            <w:tcW w:w="3284" w:type="dxa"/>
            <w:shd w:val="clear" w:color="auto" w:fill="D8E6DF" w:themeFill="accent1" w:themeFillTint="33"/>
          </w:tcPr>
          <w:p w:rsidR="00CD7681" w:rsidRDefault="00CD7681" w:rsidP="00CD7681">
            <w:pPr>
              <w:ind w:firstLine="0"/>
              <w:rPr>
                <w:szCs w:val="24"/>
              </w:rPr>
            </w:pPr>
            <w:r w:rsidRPr="00CD4D13">
              <w:rPr>
                <w:szCs w:val="24"/>
              </w:rPr>
              <w:t xml:space="preserve">Korešpondenčná adresa </w:t>
            </w:r>
          </w:p>
          <w:p w:rsidR="00CD7681" w:rsidRPr="00CD4D13" w:rsidRDefault="00CD7681" w:rsidP="00CD7681">
            <w:pPr>
              <w:ind w:firstLine="0"/>
              <w:rPr>
                <w:szCs w:val="24"/>
              </w:rPr>
            </w:pPr>
            <w:r w:rsidRPr="00265D1F">
              <w:rPr>
                <w:i/>
                <w:sz w:val="20"/>
                <w:szCs w:val="20"/>
                <w:lang w:val="en-GB"/>
              </w:rPr>
              <w:t>(Mailing address)</w:t>
            </w:r>
            <w:r>
              <w:rPr>
                <w:i/>
                <w:sz w:val="20"/>
                <w:szCs w:val="20"/>
                <w:lang w:val="en-GB"/>
              </w:rPr>
              <w:t xml:space="preserve"> </w:t>
            </w:r>
            <w:r w:rsidRPr="00CD4D13">
              <w:rPr>
                <w:rStyle w:val="Odkaznavysvetlivku"/>
                <w:szCs w:val="24"/>
              </w:rPr>
              <w:endnoteReference w:id="2"/>
            </w:r>
          </w:p>
        </w:tc>
        <w:tc>
          <w:tcPr>
            <w:tcW w:w="6570" w:type="dxa"/>
            <w:gridSpan w:val="2"/>
            <w:shd w:val="clear" w:color="auto" w:fill="auto"/>
          </w:tcPr>
          <w:sdt>
            <w:sdtPr>
              <w:id w:val="1004244887"/>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tc>
          <w:tcPr>
            <w:tcW w:w="3284" w:type="dxa"/>
            <w:tcBorders>
              <w:bottom w:val="single" w:sz="12" w:space="0" w:color="4C7563" w:themeColor="accent1"/>
            </w:tcBorders>
            <w:shd w:val="clear" w:color="auto" w:fill="D8E6DF" w:themeFill="accent1" w:themeFillTint="33"/>
          </w:tcPr>
          <w:p w:rsidR="00CD7681" w:rsidRPr="00265D1F" w:rsidRDefault="00CD7681" w:rsidP="00CD7681">
            <w:pPr>
              <w:ind w:firstLine="0"/>
              <w:rPr>
                <w:szCs w:val="24"/>
                <w:lang w:val="en-GB"/>
              </w:rPr>
            </w:pPr>
            <w:r w:rsidRPr="00207A52">
              <w:rPr>
                <w:szCs w:val="24"/>
              </w:rPr>
              <w:t>IČO</w:t>
            </w:r>
            <w:r>
              <w:rPr>
                <w:szCs w:val="24"/>
              </w:rPr>
              <w:t>/ZIČ/NIČ</w:t>
            </w:r>
            <w:r w:rsidRPr="00D439E0">
              <w:rPr>
                <w:szCs w:val="24"/>
                <w:lang w:val="en-GB"/>
              </w:rPr>
              <w:t xml:space="preserve"> </w:t>
            </w:r>
            <w:r w:rsidRPr="00265D1F">
              <w:rPr>
                <w:i/>
                <w:sz w:val="20"/>
                <w:szCs w:val="20"/>
                <w:lang w:val="en-GB"/>
              </w:rPr>
              <w:t>(Company ID /FRN/NIČ)</w:t>
            </w:r>
          </w:p>
        </w:tc>
        <w:tc>
          <w:tcPr>
            <w:tcW w:w="3285" w:type="dxa"/>
            <w:tcBorders>
              <w:bottom w:val="single" w:sz="12" w:space="0" w:color="4C7563" w:themeColor="accent1"/>
            </w:tcBorders>
            <w:shd w:val="clear" w:color="auto" w:fill="D8E6DF" w:themeFill="accent1" w:themeFillTint="33"/>
          </w:tcPr>
          <w:p w:rsidR="00CD7681" w:rsidRDefault="00CD7681" w:rsidP="00CD7681">
            <w:pPr>
              <w:ind w:firstLine="0"/>
              <w:rPr>
                <w:szCs w:val="24"/>
              </w:rPr>
            </w:pPr>
            <w:r>
              <w:rPr>
                <w:szCs w:val="24"/>
              </w:rPr>
              <w:t xml:space="preserve">BIC kód </w:t>
            </w:r>
            <w:r w:rsidRPr="00265D1F">
              <w:rPr>
                <w:i/>
                <w:sz w:val="20"/>
                <w:szCs w:val="20"/>
                <w:lang w:val="en-GB"/>
              </w:rPr>
              <w:t>(BIC code)</w:t>
            </w:r>
            <w:r>
              <w:rPr>
                <w:szCs w:val="24"/>
              </w:rPr>
              <w:t xml:space="preserve"> </w:t>
            </w:r>
          </w:p>
        </w:tc>
        <w:tc>
          <w:tcPr>
            <w:tcW w:w="3285" w:type="dxa"/>
            <w:tcBorders>
              <w:bottom w:val="single" w:sz="12" w:space="0" w:color="4C7563" w:themeColor="accent1"/>
            </w:tcBorders>
            <w:shd w:val="clear" w:color="auto" w:fill="D8E6DF" w:themeFill="accent1" w:themeFillTint="33"/>
          </w:tcPr>
          <w:p w:rsidR="00CD7681" w:rsidRDefault="00CD7681" w:rsidP="00CD7681">
            <w:pPr>
              <w:ind w:firstLine="0"/>
              <w:rPr>
                <w:szCs w:val="24"/>
              </w:rPr>
            </w:pPr>
            <w:r w:rsidRPr="00265D1F">
              <w:rPr>
                <w:szCs w:val="24"/>
              </w:rPr>
              <w:t>LEI kód</w:t>
            </w:r>
            <w:r>
              <w:rPr>
                <w:i/>
                <w:sz w:val="20"/>
                <w:szCs w:val="20"/>
                <w:lang w:val="en-GB"/>
              </w:rPr>
              <w:t xml:space="preserve"> (</w:t>
            </w:r>
            <w:r w:rsidRPr="00265D1F">
              <w:rPr>
                <w:i/>
                <w:sz w:val="20"/>
                <w:szCs w:val="20"/>
                <w:lang w:val="en-GB"/>
              </w:rPr>
              <w:t>LEI code</w:t>
            </w:r>
            <w:r>
              <w:rPr>
                <w:i/>
                <w:sz w:val="20"/>
                <w:szCs w:val="20"/>
                <w:lang w:val="en-GB"/>
              </w:rPr>
              <w:t>)</w:t>
            </w:r>
          </w:p>
        </w:tc>
      </w:tr>
      <w:tr w:rsidR="00CD7681" w:rsidTr="00CD7681">
        <w:trPr>
          <w:trHeight w:val="340"/>
        </w:trPr>
        <w:tc>
          <w:tcPr>
            <w:tcW w:w="3284" w:type="dxa"/>
            <w:shd w:val="clear" w:color="auto" w:fill="auto"/>
          </w:tcPr>
          <w:sdt>
            <w:sdtPr>
              <w:id w:val="1717241218"/>
              <w:showingPlcHdr/>
            </w:sdtPr>
            <w:sdtEndPr/>
            <w:sdtContent>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auto"/>
          </w:tcPr>
          <w:sdt>
            <w:sdtPr>
              <w:id w:val="-1956242575"/>
              <w:showingPlcHdr/>
            </w:sdtPr>
            <w:sdtEndPr/>
            <w:sdtContent>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auto"/>
          </w:tcPr>
          <w:sdt>
            <w:sdtPr>
              <w:id w:val="1365259629"/>
              <w:showingPlcHdr/>
            </w:sdtPr>
            <w:sdtEndPr/>
            <w:sdtContent>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tc>
          <w:tcPr>
            <w:tcW w:w="3284" w:type="dxa"/>
            <w:tcBorders>
              <w:bottom w:val="single" w:sz="12" w:space="0" w:color="4C7563" w:themeColor="accent1"/>
            </w:tcBorders>
            <w:shd w:val="clear" w:color="auto" w:fill="D8E6DF" w:themeFill="accent1" w:themeFillTint="33"/>
          </w:tcPr>
          <w:p w:rsidR="00CD7681" w:rsidRDefault="00CD7681" w:rsidP="00CD7681">
            <w:pPr>
              <w:ind w:firstLine="0"/>
              <w:rPr>
                <w:szCs w:val="24"/>
              </w:rPr>
            </w:pPr>
            <w:r>
              <w:rPr>
                <w:szCs w:val="24"/>
              </w:rPr>
              <w:t>Štát daňovej rezidencie (príslušnosti)</w:t>
            </w:r>
          </w:p>
          <w:p w:rsidR="00CD7681" w:rsidRPr="00207A52" w:rsidRDefault="00CD7681" w:rsidP="00CD7681">
            <w:pPr>
              <w:ind w:firstLine="0"/>
              <w:rPr>
                <w:szCs w:val="24"/>
              </w:rPr>
            </w:pPr>
            <w:r>
              <w:rPr>
                <w:szCs w:val="24"/>
              </w:rPr>
              <w:t xml:space="preserve"> </w:t>
            </w:r>
            <w:r w:rsidRPr="00265D1F">
              <w:rPr>
                <w:i/>
                <w:sz w:val="20"/>
                <w:szCs w:val="20"/>
                <w:lang w:val="en-GB"/>
              </w:rPr>
              <w:t>(Country of tax residence)</w:t>
            </w:r>
          </w:p>
        </w:tc>
        <w:tc>
          <w:tcPr>
            <w:tcW w:w="3285" w:type="dxa"/>
            <w:tcBorders>
              <w:bottom w:val="single" w:sz="12" w:space="0" w:color="4C7563" w:themeColor="accent1"/>
            </w:tcBorders>
            <w:shd w:val="clear" w:color="auto" w:fill="D8E6DF" w:themeFill="accent1" w:themeFillTint="33"/>
          </w:tcPr>
          <w:p w:rsidR="00CD7681" w:rsidRPr="00207A52" w:rsidRDefault="00CD7681" w:rsidP="00CD7681">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3"/>
            </w:r>
          </w:p>
        </w:tc>
        <w:tc>
          <w:tcPr>
            <w:tcW w:w="3285" w:type="dxa"/>
            <w:tcBorders>
              <w:bottom w:val="single" w:sz="12" w:space="0" w:color="4C7563" w:themeColor="accent1"/>
            </w:tcBorders>
            <w:shd w:val="clear" w:color="auto" w:fill="D8E6DF" w:themeFill="accent1" w:themeFillTint="33"/>
          </w:tcPr>
          <w:p w:rsidR="00CD7681" w:rsidRPr="00207A52" w:rsidRDefault="00CD7681" w:rsidP="00CD7681">
            <w:pPr>
              <w:ind w:firstLine="0"/>
              <w:rPr>
                <w:szCs w:val="24"/>
              </w:rPr>
            </w:pPr>
            <w:r>
              <w:rPr>
                <w:szCs w:val="24"/>
              </w:rPr>
              <w:t xml:space="preserve">IČ DPH </w:t>
            </w:r>
            <w:r w:rsidRPr="00265D1F">
              <w:rPr>
                <w:i/>
                <w:sz w:val="20"/>
                <w:szCs w:val="20"/>
                <w:lang w:val="en-GB"/>
              </w:rPr>
              <w:t>(VAT ID)</w:t>
            </w:r>
          </w:p>
        </w:tc>
      </w:tr>
      <w:tr w:rsidR="00CD7681" w:rsidTr="00CD7681">
        <w:trPr>
          <w:trHeight w:val="340"/>
        </w:trPr>
        <w:tc>
          <w:tcPr>
            <w:tcW w:w="3284" w:type="dxa"/>
            <w:shd w:val="clear" w:color="auto" w:fill="FFFFFF" w:themeFill="background1"/>
          </w:tcPr>
          <w:sdt>
            <w:sdtPr>
              <w:id w:val="-1240481100"/>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1999208"/>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c>
          <w:tcPr>
            <w:tcW w:w="3285" w:type="dxa"/>
            <w:shd w:val="clear" w:color="auto" w:fill="FFFFFF" w:themeFill="background1"/>
          </w:tcPr>
          <w:sdt>
            <w:sdtPr>
              <w:id w:val="1355620368"/>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bl>
    <w:p w:rsidR="00CD7681" w:rsidRDefault="00CD7681" w:rsidP="00207A5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534"/>
        <w:gridCol w:w="2693"/>
        <w:gridCol w:w="6627"/>
      </w:tblGrid>
      <w:tr w:rsidR="00CD7681" w:rsidTr="00CD7681">
        <w:trPr>
          <w:trHeight w:val="340"/>
        </w:trPr>
        <w:tc>
          <w:tcPr>
            <w:tcW w:w="9854" w:type="dxa"/>
            <w:gridSpan w:val="3"/>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7681" w:rsidRPr="002D465F" w:rsidRDefault="00CD7681" w:rsidP="00CD7681">
            <w:pPr>
              <w:pStyle w:val="Odsekzoznamu"/>
              <w:numPr>
                <w:ilvl w:val="0"/>
                <w:numId w:val="15"/>
              </w:numPr>
              <w:ind w:left="426" w:hanging="426"/>
            </w:pPr>
            <w:r>
              <w:rPr>
                <w:b/>
              </w:rPr>
              <w:t>Aktuálne i</w:t>
            </w:r>
            <w:r w:rsidRPr="00207A52">
              <w:rPr>
                <w:b/>
              </w:rPr>
              <w:t>dentifikačné údaje</w:t>
            </w:r>
            <w:r>
              <w:rPr>
                <w:b/>
              </w:rPr>
              <w:t xml:space="preserve"> majiteľa účtu, ktoré klient žiada zaevidovať</w:t>
            </w:r>
            <w:r w:rsidRPr="00C87120">
              <w:rPr>
                <w:b/>
                <w:lang w:val="en-GB"/>
              </w:rPr>
              <w:t xml:space="preserve"> </w:t>
            </w:r>
          </w:p>
          <w:p w:rsidR="00CD7681" w:rsidRDefault="00CD7681" w:rsidP="00CD7681">
            <w:pPr>
              <w:pStyle w:val="Odsekzoznamu"/>
              <w:ind w:left="426" w:firstLine="0"/>
            </w:pPr>
            <w:r w:rsidRPr="002D465F">
              <w:rPr>
                <w:b/>
                <w:i/>
                <w:sz w:val="20"/>
                <w:szCs w:val="20"/>
                <w:lang w:val="en-GB"/>
              </w:rPr>
              <w:t>(Current identification data on the account holder the client requests to register)</w:t>
            </w:r>
            <w:r>
              <w:rPr>
                <w:b/>
                <w:i/>
                <w:sz w:val="20"/>
                <w:szCs w:val="20"/>
                <w:lang w:val="en-GB"/>
              </w:rPr>
              <w:t xml:space="preserve"> </w:t>
            </w:r>
            <w:r>
              <w:rPr>
                <w:rStyle w:val="Odkaznavysvetlivku"/>
                <w:b/>
              </w:rPr>
              <w:endnoteReference w:id="4"/>
            </w:r>
          </w:p>
        </w:tc>
      </w:tr>
      <w:tr w:rsidR="00CD7681" w:rsidTr="00CD7681">
        <w:trPr>
          <w:trHeight w:val="340"/>
        </w:trPr>
        <w:tc>
          <w:tcPr>
            <w:tcW w:w="3227"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7681" w:rsidRDefault="00CD7681" w:rsidP="00CD7681">
            <w:pPr>
              <w:pStyle w:val="Odsekzoznamu"/>
              <w:ind w:left="0" w:firstLine="0"/>
            </w:pPr>
            <w:r>
              <w:t>Klient žiada zaevidovať zmenu</w:t>
            </w:r>
            <w:r w:rsidRPr="00992FAE">
              <w:t xml:space="preserve"> </w:t>
            </w:r>
          </w:p>
          <w:p w:rsidR="00CD7681" w:rsidRPr="00CD7681" w:rsidRDefault="00CD7681" w:rsidP="00CD7681">
            <w:pPr>
              <w:pStyle w:val="Odsekzoznamu"/>
              <w:ind w:left="0" w:firstLine="0"/>
              <w:rPr>
                <w:i/>
                <w:sz w:val="20"/>
                <w:szCs w:val="20"/>
              </w:rPr>
            </w:pPr>
            <w:r w:rsidRPr="00CD7681">
              <w:rPr>
                <w:i/>
                <w:sz w:val="20"/>
                <w:szCs w:val="20"/>
              </w:rPr>
              <w:t>(The client requests for change of)</w:t>
            </w:r>
          </w:p>
        </w:tc>
        <w:tc>
          <w:tcPr>
            <w:tcW w:w="6627"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CD7681" w:rsidRPr="00992FAE" w:rsidRDefault="00CD7681" w:rsidP="00CD7681">
            <w:pPr>
              <w:pStyle w:val="Odsekzoznamu"/>
              <w:ind w:left="0" w:firstLine="0"/>
            </w:pPr>
            <w:r>
              <w:t xml:space="preserve">Aktuálny (zmenený) údaj </w:t>
            </w:r>
            <w:r w:rsidRPr="00CD7681">
              <w:rPr>
                <w:i/>
                <w:sz w:val="20"/>
                <w:szCs w:val="20"/>
              </w:rPr>
              <w:t>(Current (changed) data)</w:t>
            </w:r>
          </w:p>
        </w:tc>
      </w:tr>
      <w:tr w:rsidR="00CD7681" w:rsidTr="00CD7681">
        <w:trPr>
          <w:trHeight w:val="340"/>
        </w:trPr>
        <w:sdt>
          <w:sdtPr>
            <w:id w:val="1522281580"/>
            <w14:checkbox>
              <w14:checked w14:val="0"/>
              <w14:checkedState w14:val="2612" w14:font="MS Gothic"/>
              <w14:uncheckedState w14:val="2610" w14:font="MS Gothic"/>
            </w14:checkbox>
          </w:sdtPr>
          <w:sdtEndPr/>
          <w:sdtContent>
            <w:tc>
              <w:tcPr>
                <w:tcW w:w="534" w:type="dxa"/>
                <w:tcBorders>
                  <w:top w:val="single" w:sz="12" w:space="0" w:color="4C7563" w:themeColor="accent1"/>
                  <w:bottom w:val="single" w:sz="12" w:space="0" w:color="4C7563" w:themeColor="accent1"/>
                </w:tcBorders>
                <w:shd w:val="clear" w:color="auto" w:fill="FFFFFF" w:themeFill="background1"/>
              </w:tcPr>
              <w:p w:rsidR="00CD7681" w:rsidRPr="00095E74" w:rsidRDefault="00CD7681" w:rsidP="00CD7681">
                <w:pPr>
                  <w:ind w:firstLine="0"/>
                  <w:jc w:val="center"/>
                </w:pPr>
                <w:r>
                  <w:rPr>
                    <w:rFonts w:ascii="MS Gothic" w:eastAsia="MS Gothic" w:hAnsi="MS Gothic" w:hint="eastAsia"/>
                  </w:rPr>
                  <w:t>☐</w:t>
                </w:r>
              </w:p>
            </w:tc>
          </w:sdtContent>
        </w:sdt>
        <w:tc>
          <w:tcPr>
            <w:tcW w:w="2693" w:type="dxa"/>
            <w:tcBorders>
              <w:top w:val="single" w:sz="12" w:space="0" w:color="4C7563" w:themeColor="accent1"/>
            </w:tcBorders>
            <w:shd w:val="clear" w:color="auto" w:fill="D8E6DF" w:themeFill="accent1" w:themeFillTint="33"/>
          </w:tcPr>
          <w:p w:rsidR="00CD7681" w:rsidRPr="00EE55E8" w:rsidRDefault="00CD7681" w:rsidP="00CD7681">
            <w:pPr>
              <w:ind w:firstLine="0"/>
              <w:rPr>
                <w:szCs w:val="24"/>
              </w:rPr>
            </w:pPr>
            <w:r>
              <w:rPr>
                <w:szCs w:val="24"/>
                <w:lang w:val="en-GB"/>
              </w:rPr>
              <w:t xml:space="preserve">Názvu </w:t>
            </w:r>
            <w:r w:rsidRPr="00265D1F">
              <w:rPr>
                <w:i/>
                <w:sz w:val="20"/>
                <w:szCs w:val="20"/>
                <w:lang w:val="en-GB"/>
              </w:rPr>
              <w:t>(Trade name)</w:t>
            </w:r>
          </w:p>
        </w:tc>
        <w:tc>
          <w:tcPr>
            <w:tcW w:w="6627" w:type="dxa"/>
            <w:tcBorders>
              <w:top w:val="single" w:sz="12" w:space="0" w:color="4C7563" w:themeColor="accent1"/>
              <w:bottom w:val="single" w:sz="12" w:space="0" w:color="4C7563" w:themeColor="accent1"/>
            </w:tcBorders>
            <w:shd w:val="clear" w:color="auto" w:fill="auto"/>
          </w:tcPr>
          <w:sdt>
            <w:sdtPr>
              <w:id w:val="-386733720"/>
              <w:showingPlcHdr/>
            </w:sdtPr>
            <w:sdtEndPr/>
            <w:sdtContent>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sdt>
          <w:sdtPr>
            <w:id w:val="-141431589"/>
            <w14:checkbox>
              <w14:checked w14:val="0"/>
              <w14:checkedState w14:val="2612" w14:font="MS Gothic"/>
              <w14:uncheckedState w14:val="2610" w14:font="MS Gothic"/>
            </w14:checkbox>
          </w:sdtPr>
          <w:sdtEndPr/>
          <w:sdtContent>
            <w:tc>
              <w:tcPr>
                <w:tcW w:w="534" w:type="dxa"/>
                <w:tcBorders>
                  <w:bottom w:val="single" w:sz="12" w:space="0" w:color="4C7563" w:themeColor="accent1"/>
                </w:tcBorders>
                <w:shd w:val="clear" w:color="auto" w:fill="auto"/>
              </w:tcPr>
              <w:p w:rsidR="00CD7681" w:rsidRPr="00095E74" w:rsidRDefault="00CD7681" w:rsidP="00CD7681">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CD7681" w:rsidRPr="00207A52" w:rsidRDefault="00CD7681" w:rsidP="00CD7681">
            <w:pPr>
              <w:ind w:firstLine="0"/>
              <w:rPr>
                <w:szCs w:val="24"/>
              </w:rPr>
            </w:pPr>
            <w:r>
              <w:rPr>
                <w:szCs w:val="24"/>
                <w:lang w:val="en-GB"/>
              </w:rPr>
              <w:t xml:space="preserve">Sídla </w:t>
            </w:r>
            <w:r w:rsidRPr="00265D1F">
              <w:rPr>
                <w:i/>
                <w:sz w:val="20"/>
                <w:szCs w:val="20"/>
                <w:lang w:val="en-GB"/>
              </w:rPr>
              <w:t>(Registered address)</w:t>
            </w:r>
            <w:r>
              <w:rPr>
                <w:i/>
                <w:sz w:val="20"/>
                <w:szCs w:val="20"/>
                <w:lang w:val="en-GB"/>
              </w:rPr>
              <w:t xml:space="preserve"> </w:t>
            </w:r>
            <w:r>
              <w:rPr>
                <w:rStyle w:val="Odkaznavysvetlivku"/>
                <w:szCs w:val="24"/>
              </w:rPr>
              <w:endnoteReference w:id="5"/>
            </w:r>
          </w:p>
        </w:tc>
        <w:tc>
          <w:tcPr>
            <w:tcW w:w="6627" w:type="dxa"/>
            <w:shd w:val="clear" w:color="auto" w:fill="auto"/>
          </w:tcPr>
          <w:sdt>
            <w:sdtPr>
              <w:id w:val="-1384716600"/>
              <w:showingPlcHdr/>
            </w:sdtPr>
            <w:sdtEndPr/>
            <w:sdtContent>
              <w:p w:rsidR="00CD7681" w:rsidRPr="00095E74"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sdt>
          <w:sdtPr>
            <w:id w:val="628059547"/>
            <w14:checkbox>
              <w14:checked w14:val="0"/>
              <w14:checkedState w14:val="2612" w14:font="MS Gothic"/>
              <w14:uncheckedState w14:val="2610" w14:font="MS Gothic"/>
            </w14:checkbox>
          </w:sdtPr>
          <w:sdtEndPr/>
          <w:sdtContent>
            <w:tc>
              <w:tcPr>
                <w:tcW w:w="534" w:type="dxa"/>
                <w:shd w:val="clear" w:color="auto" w:fill="auto"/>
              </w:tcPr>
              <w:p w:rsidR="00CD7681" w:rsidRDefault="00CD7681" w:rsidP="00CD7681">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CD7681" w:rsidRDefault="00CD7681" w:rsidP="00CD7681">
            <w:pPr>
              <w:ind w:firstLine="0"/>
              <w:rPr>
                <w:szCs w:val="24"/>
              </w:rPr>
            </w:pPr>
            <w:r>
              <w:rPr>
                <w:szCs w:val="24"/>
              </w:rPr>
              <w:t>Korešpondenčnej adresy</w:t>
            </w:r>
            <w:r w:rsidRPr="00CD4D13">
              <w:rPr>
                <w:szCs w:val="24"/>
              </w:rPr>
              <w:t xml:space="preserve"> </w:t>
            </w:r>
          </w:p>
          <w:p w:rsidR="00CD7681" w:rsidRPr="00CD4D13" w:rsidRDefault="00CD7681" w:rsidP="00CD7681">
            <w:pPr>
              <w:ind w:firstLine="0"/>
              <w:rPr>
                <w:szCs w:val="24"/>
              </w:rPr>
            </w:pPr>
            <w:r w:rsidRPr="00265D1F">
              <w:rPr>
                <w:i/>
                <w:sz w:val="20"/>
                <w:szCs w:val="20"/>
                <w:lang w:val="en-GB"/>
              </w:rPr>
              <w:t>(Mailing address)</w:t>
            </w:r>
            <w:r>
              <w:rPr>
                <w:i/>
                <w:sz w:val="20"/>
                <w:szCs w:val="20"/>
                <w:lang w:val="en-GB"/>
              </w:rPr>
              <w:t xml:space="preserve"> </w:t>
            </w:r>
            <w:r w:rsidRPr="00CD4D13">
              <w:rPr>
                <w:rStyle w:val="Odkaznavysvetlivku"/>
                <w:szCs w:val="24"/>
              </w:rPr>
              <w:endnoteReference w:id="6"/>
            </w:r>
          </w:p>
        </w:tc>
        <w:tc>
          <w:tcPr>
            <w:tcW w:w="6627" w:type="dxa"/>
            <w:shd w:val="clear" w:color="auto" w:fill="auto"/>
          </w:tcPr>
          <w:sdt>
            <w:sdtPr>
              <w:id w:val="-385031603"/>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sdt>
          <w:sdtPr>
            <w:id w:val="-551230703"/>
            <w14:checkbox>
              <w14:checked w14:val="0"/>
              <w14:checkedState w14:val="2612" w14:font="MS Gothic"/>
              <w14:uncheckedState w14:val="2610" w14:font="MS Gothic"/>
            </w14:checkbox>
          </w:sdtPr>
          <w:sdtEndPr/>
          <w:sdtContent>
            <w:tc>
              <w:tcPr>
                <w:tcW w:w="534" w:type="dxa"/>
                <w:shd w:val="clear" w:color="auto" w:fill="auto"/>
              </w:tcPr>
              <w:p w:rsidR="00CD7681" w:rsidRDefault="00CD7681" w:rsidP="00CD7681">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CD7681" w:rsidRDefault="00CD7681" w:rsidP="00CD7681">
            <w:pPr>
              <w:ind w:firstLine="0"/>
              <w:rPr>
                <w:szCs w:val="24"/>
              </w:rPr>
            </w:pPr>
            <w:r>
              <w:rPr>
                <w:szCs w:val="24"/>
              </w:rPr>
              <w:t xml:space="preserve">Štátu daňovej rezidencie (príslušnosti) </w:t>
            </w:r>
          </w:p>
          <w:p w:rsidR="00CD7681" w:rsidRDefault="00CD7681" w:rsidP="00CD7681">
            <w:pPr>
              <w:ind w:firstLine="0"/>
              <w:rPr>
                <w:szCs w:val="24"/>
              </w:rPr>
            </w:pPr>
            <w:r w:rsidRPr="00265D1F">
              <w:rPr>
                <w:i/>
                <w:sz w:val="20"/>
                <w:szCs w:val="20"/>
                <w:lang w:val="en-GB"/>
              </w:rPr>
              <w:t>(Country of tax residence)</w:t>
            </w:r>
          </w:p>
        </w:tc>
        <w:tc>
          <w:tcPr>
            <w:tcW w:w="6627" w:type="dxa"/>
            <w:shd w:val="clear" w:color="auto" w:fill="auto"/>
          </w:tcPr>
          <w:sdt>
            <w:sdtPr>
              <w:id w:val="1065769309"/>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sdt>
          <w:sdtPr>
            <w:id w:val="1596140392"/>
            <w14:checkbox>
              <w14:checked w14:val="0"/>
              <w14:checkedState w14:val="2612" w14:font="MS Gothic"/>
              <w14:uncheckedState w14:val="2610" w14:font="MS Gothic"/>
            </w14:checkbox>
          </w:sdtPr>
          <w:sdtEndPr/>
          <w:sdtContent>
            <w:tc>
              <w:tcPr>
                <w:tcW w:w="534" w:type="dxa"/>
                <w:shd w:val="clear" w:color="auto" w:fill="auto"/>
              </w:tcPr>
              <w:p w:rsidR="00CD7681" w:rsidRDefault="00CD7681" w:rsidP="00CD7681">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CD7681" w:rsidRPr="00207A52" w:rsidRDefault="00CD7681" w:rsidP="00CD7681">
            <w:pPr>
              <w:ind w:firstLine="0"/>
              <w:rPr>
                <w:szCs w:val="24"/>
              </w:rPr>
            </w:pPr>
            <w:r>
              <w:rPr>
                <w:szCs w:val="24"/>
              </w:rPr>
              <w:t xml:space="preserve">DIČ </w:t>
            </w:r>
            <w:r w:rsidRPr="00265D1F">
              <w:rPr>
                <w:i/>
                <w:sz w:val="20"/>
                <w:szCs w:val="20"/>
                <w:lang w:val="en-GB"/>
              </w:rPr>
              <w:t>(Tax ID)</w:t>
            </w:r>
            <w:r>
              <w:rPr>
                <w:i/>
                <w:sz w:val="20"/>
                <w:szCs w:val="20"/>
                <w:lang w:val="en-GB"/>
              </w:rPr>
              <w:t xml:space="preserve"> </w:t>
            </w:r>
            <w:r>
              <w:rPr>
                <w:rStyle w:val="Odkaznavysvetlivku"/>
                <w:szCs w:val="24"/>
              </w:rPr>
              <w:endnoteReference w:id="7"/>
            </w:r>
          </w:p>
        </w:tc>
        <w:tc>
          <w:tcPr>
            <w:tcW w:w="6627" w:type="dxa"/>
            <w:shd w:val="clear" w:color="auto" w:fill="auto"/>
          </w:tcPr>
          <w:sdt>
            <w:sdtPr>
              <w:id w:val="1868716991"/>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r w:rsidR="00CD7681" w:rsidTr="00CD7681">
        <w:trPr>
          <w:trHeight w:val="340"/>
        </w:trPr>
        <w:sdt>
          <w:sdtPr>
            <w:id w:val="-2142260032"/>
            <w14:checkbox>
              <w14:checked w14:val="0"/>
              <w14:checkedState w14:val="2612" w14:font="MS Gothic"/>
              <w14:uncheckedState w14:val="2610" w14:font="MS Gothic"/>
            </w14:checkbox>
          </w:sdtPr>
          <w:sdtEndPr/>
          <w:sdtContent>
            <w:tc>
              <w:tcPr>
                <w:tcW w:w="534" w:type="dxa"/>
                <w:shd w:val="clear" w:color="auto" w:fill="auto"/>
              </w:tcPr>
              <w:p w:rsidR="00CD7681" w:rsidRDefault="00CD7681" w:rsidP="00CD7681">
                <w:pPr>
                  <w:ind w:firstLine="0"/>
                  <w:jc w:val="center"/>
                </w:pPr>
                <w:r>
                  <w:rPr>
                    <w:rFonts w:ascii="MS Gothic" w:eastAsia="MS Gothic" w:hAnsi="MS Gothic" w:hint="eastAsia"/>
                  </w:rPr>
                  <w:t>☐</w:t>
                </w:r>
              </w:p>
            </w:tc>
          </w:sdtContent>
        </w:sdt>
        <w:tc>
          <w:tcPr>
            <w:tcW w:w="2693" w:type="dxa"/>
            <w:shd w:val="clear" w:color="auto" w:fill="D8E6DF" w:themeFill="accent1" w:themeFillTint="33"/>
          </w:tcPr>
          <w:p w:rsidR="00CD7681" w:rsidRPr="00207A52" w:rsidRDefault="00CD7681" w:rsidP="00CD7681">
            <w:pPr>
              <w:ind w:firstLine="0"/>
              <w:rPr>
                <w:szCs w:val="24"/>
              </w:rPr>
            </w:pPr>
            <w:r>
              <w:rPr>
                <w:szCs w:val="24"/>
              </w:rPr>
              <w:t xml:space="preserve">IČ DPH </w:t>
            </w:r>
            <w:r w:rsidRPr="00265D1F">
              <w:rPr>
                <w:i/>
                <w:sz w:val="20"/>
                <w:szCs w:val="20"/>
                <w:lang w:val="en-GB"/>
              </w:rPr>
              <w:t>(VAT ID)</w:t>
            </w:r>
          </w:p>
        </w:tc>
        <w:tc>
          <w:tcPr>
            <w:tcW w:w="6627" w:type="dxa"/>
            <w:shd w:val="clear" w:color="auto" w:fill="auto"/>
          </w:tcPr>
          <w:sdt>
            <w:sdtPr>
              <w:id w:val="-1550847069"/>
              <w:showingPlcHdr/>
            </w:sdtPr>
            <w:sdtEndPr/>
            <w:sdtContent>
              <w:p w:rsidR="00CD7681" w:rsidRDefault="00CD7681" w:rsidP="00CD7681">
                <w:pPr>
                  <w:ind w:firstLine="0"/>
                </w:pPr>
                <w:r w:rsidRPr="00907279">
                  <w:rPr>
                    <w:rStyle w:val="Textzstupnhosymbolu"/>
                    <w:color w:val="FFFFFF" w:themeColor="background1"/>
                    <w:shd w:val="pct5" w:color="auto" w:fill="auto"/>
                    <w14:textFill>
                      <w14:noFill/>
                    </w14:textFill>
                  </w:rPr>
                  <w:t>Kliknutím zadáte text.</w:t>
                </w:r>
              </w:p>
            </w:sdtContent>
          </w:sdt>
        </w:tc>
      </w:tr>
    </w:tbl>
    <w:p w:rsidR="00A11078" w:rsidRDefault="00A11078" w:rsidP="00207A52"/>
    <w:p w:rsidR="001F3629" w:rsidRPr="007F52FC" w:rsidRDefault="002D465F" w:rsidP="002D465F">
      <w:pPr>
        <w:pStyle w:val="Nadpis1"/>
        <w:numPr>
          <w:ilvl w:val="0"/>
          <w:numId w:val="14"/>
        </w:numPr>
        <w:spacing w:before="0"/>
        <w:ind w:left="284" w:hanging="284"/>
        <w:rPr>
          <w:sz w:val="26"/>
          <w:szCs w:val="26"/>
        </w:rPr>
      </w:pPr>
      <w:r w:rsidRPr="002D465F">
        <w:rPr>
          <w:szCs w:val="26"/>
        </w:rPr>
        <w:t>ČESTNÉ VYHLÁSENIA</w:t>
      </w:r>
      <w:r w:rsidR="00C87120">
        <w:rPr>
          <w:szCs w:val="26"/>
        </w:rPr>
        <w:t xml:space="preserve"> </w:t>
      </w:r>
      <w:r w:rsidR="00C87120" w:rsidRPr="00C87120">
        <w:rPr>
          <w:i/>
          <w:sz w:val="20"/>
          <w:szCs w:val="26"/>
        </w:rPr>
        <w:t>(</w:t>
      </w:r>
      <w:r w:rsidRPr="002D465F">
        <w:rPr>
          <w:i/>
          <w:sz w:val="20"/>
          <w:szCs w:val="26"/>
        </w:rPr>
        <w:t>STATUTORY DECLARATIONS</w:t>
      </w:r>
      <w:r w:rsidR="00C87120">
        <w:rPr>
          <w:i/>
          <w:sz w:val="20"/>
          <w:szCs w:val="26"/>
        </w:rPr>
        <w:t>)</w:t>
      </w:r>
      <w:r w:rsidR="001F3629">
        <w:rPr>
          <w:rStyle w:val="Odkaznavysvetlivku"/>
          <w:szCs w:val="26"/>
        </w:rPr>
        <w:endnoteReference w:id="8"/>
      </w:r>
    </w:p>
    <w:p w:rsidR="001F3629" w:rsidRPr="00653A10" w:rsidRDefault="001F3629" w:rsidP="001F3629"/>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F3629" w:rsidTr="003522D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2D465F" w:rsidRPr="002D465F" w:rsidRDefault="002D465F" w:rsidP="002D465F">
            <w:pPr>
              <w:pStyle w:val="Odsekzoznamu"/>
              <w:numPr>
                <w:ilvl w:val="0"/>
                <w:numId w:val="16"/>
              </w:numPr>
              <w:ind w:left="426" w:hanging="426"/>
            </w:pPr>
            <w:r>
              <w:rPr>
                <w:b/>
              </w:rPr>
              <w:t>Čestné vyhlásenie na účely plnenia záväzkov vyplývajúcich z Dohody medzi SR a USA na zlepšenie dodržiavania medzinárodných predpisov v oblasti daní a na implementáciu zákona FATCA</w:t>
            </w:r>
            <w:r w:rsidRPr="006042B8">
              <w:rPr>
                <w:b/>
                <w:lang w:val="en-GB"/>
              </w:rPr>
              <w:t xml:space="preserve"> </w:t>
            </w:r>
          </w:p>
          <w:p w:rsidR="001F3629" w:rsidRPr="002D465F" w:rsidRDefault="002D465F" w:rsidP="002D465F">
            <w:pPr>
              <w:pStyle w:val="Odsekzoznamu"/>
              <w:ind w:left="426" w:firstLine="0"/>
              <w:rPr>
                <w:i/>
                <w:sz w:val="20"/>
                <w:szCs w:val="20"/>
              </w:rPr>
            </w:pPr>
            <w:r w:rsidRPr="002D465F">
              <w:rPr>
                <w:b/>
                <w:i/>
                <w:sz w:val="20"/>
                <w:szCs w:val="20"/>
                <w:lang w:val="en-GB"/>
              </w:rPr>
              <w:t>(</w:t>
            </w:r>
            <w:r w:rsidR="005B1DBD" w:rsidRPr="002D465F">
              <w:rPr>
                <w:b/>
                <w:i/>
                <w:sz w:val="20"/>
                <w:szCs w:val="20"/>
                <w:lang w:val="en-GB"/>
              </w:rPr>
              <w:t xml:space="preserve">Statutory declarations for purpose of </w:t>
            </w:r>
            <w:r w:rsidR="0060476E" w:rsidRPr="002D465F">
              <w:rPr>
                <w:b/>
                <w:i/>
                <w:sz w:val="20"/>
                <w:szCs w:val="20"/>
                <w:lang w:val="en-GB"/>
              </w:rPr>
              <w:t xml:space="preserve">meeting </w:t>
            </w:r>
            <w:r w:rsidR="005B1DBD" w:rsidRPr="002D465F">
              <w:rPr>
                <w:b/>
                <w:i/>
                <w:sz w:val="20"/>
                <w:szCs w:val="20"/>
                <w:lang w:val="en-GB"/>
              </w:rPr>
              <w:t xml:space="preserve">obligations resulting from the </w:t>
            </w:r>
            <w:r w:rsidR="006042B8" w:rsidRPr="002D465F">
              <w:rPr>
                <w:b/>
                <w:i/>
                <w:sz w:val="20"/>
                <w:szCs w:val="20"/>
                <w:lang w:val="en-GB"/>
              </w:rPr>
              <w:t>Agreement between the Slovak Republic and the United States of America to Improve International Tax Compliance and to Implement FATCA</w:t>
            </w:r>
            <w:r w:rsidRPr="002D465F">
              <w:rPr>
                <w:b/>
                <w:i/>
                <w:sz w:val="20"/>
                <w:szCs w:val="20"/>
              </w:rPr>
              <w:t>)</w:t>
            </w:r>
          </w:p>
        </w:tc>
      </w:tr>
      <w:tr w:rsidR="001F3629" w:rsidTr="003522DC">
        <w:trPr>
          <w:trHeight w:val="340"/>
        </w:trPr>
        <w:tc>
          <w:tcPr>
            <w:tcW w:w="3549" w:type="dxa"/>
            <w:tcBorders>
              <w:top w:val="single" w:sz="12" w:space="0" w:color="4C7563" w:themeColor="accent1"/>
            </w:tcBorders>
            <w:shd w:val="clear" w:color="auto" w:fill="D8E6DF" w:themeFill="accent1" w:themeFillTint="33"/>
          </w:tcPr>
          <w:p w:rsidR="002D465F" w:rsidRDefault="002D465F" w:rsidP="00605B1C">
            <w:pPr>
              <w:ind w:firstLine="0"/>
              <w:rPr>
                <w:szCs w:val="24"/>
              </w:rPr>
            </w:pPr>
            <w:r>
              <w:rPr>
                <w:szCs w:val="24"/>
              </w:rPr>
              <w:t>Ste určenou americkou osobou?</w:t>
            </w:r>
          </w:p>
          <w:p w:rsidR="001F3629" w:rsidRPr="00207A52" w:rsidRDefault="002D465F" w:rsidP="00605B1C">
            <w:pPr>
              <w:ind w:firstLine="0"/>
              <w:rPr>
                <w:szCs w:val="24"/>
              </w:rPr>
            </w:pPr>
            <w:r w:rsidRPr="002D465F">
              <w:rPr>
                <w:i/>
                <w:sz w:val="20"/>
                <w:szCs w:val="20"/>
              </w:rPr>
              <w:t>(</w:t>
            </w:r>
            <w:r w:rsidR="00D439E0" w:rsidRPr="002D465F">
              <w:rPr>
                <w:i/>
                <w:sz w:val="20"/>
                <w:szCs w:val="20"/>
                <w:lang w:val="en-GB"/>
              </w:rPr>
              <w:t>Are you a US Person</w:t>
            </w:r>
            <w:r w:rsidRPr="002D465F">
              <w:rPr>
                <w:i/>
                <w:sz w:val="20"/>
                <w:szCs w:val="20"/>
                <w:lang w:val="en-GB"/>
              </w:rPr>
              <w:t>)</w:t>
            </w:r>
            <w:r w:rsidR="001F3629" w:rsidRPr="00D439E0">
              <w:rPr>
                <w:vertAlign w:val="superscript"/>
                <w:lang w:val="en-GB"/>
              </w:rPr>
              <w:endnoteReference w:id="9"/>
            </w:r>
            <w:r w:rsidR="00D439E0">
              <w:rPr>
                <w:szCs w:val="24"/>
              </w:rPr>
              <w:t xml:space="preserve">                         </w:t>
            </w:r>
          </w:p>
        </w:tc>
        <w:tc>
          <w:tcPr>
            <w:tcW w:w="6305" w:type="dxa"/>
            <w:tcBorders>
              <w:top w:val="single" w:sz="12" w:space="0" w:color="4C7563" w:themeColor="accent1"/>
            </w:tcBorders>
          </w:tcPr>
          <w:p w:rsidR="002D465F" w:rsidRDefault="00B83296" w:rsidP="003522DC">
            <w:pPr>
              <w:ind w:firstLine="0"/>
            </w:pPr>
            <w:sdt>
              <w:sdtPr>
                <w:id w:val="-1637638921"/>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rsidRPr="000502F7">
              <w:t xml:space="preserve"> </w:t>
            </w:r>
            <w:r w:rsidR="002D465F" w:rsidRPr="000502F7">
              <w:t>ÁNO – predložte riadne vyplnené tlačivo IRS-W9</w:t>
            </w:r>
          </w:p>
          <w:p w:rsidR="001F3629" w:rsidRPr="002D465F" w:rsidRDefault="002D465F" w:rsidP="002D465F">
            <w:pPr>
              <w:ind w:left="279" w:firstLine="0"/>
              <w:rPr>
                <w:i/>
              </w:rPr>
            </w:pPr>
            <w:r w:rsidRPr="002D465F">
              <w:rPr>
                <w:i/>
                <w:lang w:val="en-GB"/>
              </w:rPr>
              <w:t>(</w:t>
            </w:r>
            <w:r w:rsidR="00C87120" w:rsidRPr="002D465F">
              <w:rPr>
                <w:i/>
                <w:lang w:val="en-GB"/>
              </w:rPr>
              <w:t>Yes</w:t>
            </w:r>
            <w:r w:rsidR="001F3629" w:rsidRPr="002D465F">
              <w:rPr>
                <w:i/>
                <w:lang w:val="en-GB"/>
              </w:rPr>
              <w:t xml:space="preserve"> –</w:t>
            </w:r>
            <w:r w:rsidR="00C87120" w:rsidRPr="002D465F">
              <w:rPr>
                <w:i/>
                <w:lang w:val="en-GB"/>
              </w:rPr>
              <w:t xml:space="preserve"> submit </w:t>
            </w:r>
            <w:r w:rsidR="005B1DBD" w:rsidRPr="002D465F">
              <w:rPr>
                <w:i/>
                <w:lang w:val="en-GB"/>
              </w:rPr>
              <w:t xml:space="preserve">duly </w:t>
            </w:r>
            <w:r w:rsidR="00C87120" w:rsidRPr="002D465F">
              <w:rPr>
                <w:i/>
                <w:lang w:val="en-GB"/>
              </w:rPr>
              <w:t xml:space="preserve">completed </w:t>
            </w:r>
            <w:r w:rsidR="005B1DBD" w:rsidRPr="002D465F">
              <w:rPr>
                <w:i/>
                <w:lang w:val="en-GB"/>
              </w:rPr>
              <w:t>form</w:t>
            </w:r>
            <w:r w:rsidR="005B1DBD" w:rsidRPr="002D465F">
              <w:rPr>
                <w:i/>
              </w:rPr>
              <w:t xml:space="preserve"> </w:t>
            </w:r>
            <w:r w:rsidR="001F3629" w:rsidRPr="002D465F">
              <w:rPr>
                <w:i/>
              </w:rPr>
              <w:t>IRS-W9</w:t>
            </w:r>
            <w:r w:rsidRPr="002D465F">
              <w:rPr>
                <w:i/>
              </w:rPr>
              <w:t>)</w:t>
            </w:r>
          </w:p>
          <w:p w:rsidR="002D465F" w:rsidRDefault="00B83296" w:rsidP="005B1DBD">
            <w:pPr>
              <w:ind w:firstLine="0"/>
              <w:rPr>
                <w:b/>
              </w:rPr>
            </w:pPr>
            <w:sdt>
              <w:sdtPr>
                <w:id w:val="-48297419"/>
                <w14:checkbox>
                  <w14:checked w14:val="0"/>
                  <w14:checkedState w14:val="2612" w14:font="MS Gothic"/>
                  <w14:uncheckedState w14:val="2610" w14:font="MS Gothic"/>
                </w14:checkbox>
              </w:sdtPr>
              <w:sdtEndPr/>
              <w:sdtContent>
                <w:r w:rsidR="001F3629" w:rsidRPr="000502F7">
                  <w:rPr>
                    <w:rFonts w:ascii="MS Gothic" w:eastAsia="MS Gothic" w:hAnsi="MS Gothic" w:hint="eastAsia"/>
                  </w:rPr>
                  <w:t>☐</w:t>
                </w:r>
              </w:sdtContent>
            </w:sdt>
            <w:r w:rsidR="001F3629">
              <w:rPr>
                <w:b/>
              </w:rPr>
              <w:t xml:space="preserve"> </w:t>
            </w:r>
            <w:r w:rsidR="002D465F">
              <w:t>NIE</w:t>
            </w:r>
            <w:r w:rsidR="002D465F">
              <w:rPr>
                <w:b/>
              </w:rPr>
              <w:t xml:space="preserve"> </w:t>
            </w:r>
            <w:r w:rsidR="002D465F">
              <w:t>– pokračujte ďalšou otázkou</w:t>
            </w:r>
          </w:p>
          <w:p w:rsidR="001F3629" w:rsidRPr="00850D53" w:rsidRDefault="002D465F" w:rsidP="002D465F">
            <w:pPr>
              <w:ind w:left="279" w:firstLine="0"/>
            </w:pPr>
            <w:r w:rsidRPr="002D465F">
              <w:rPr>
                <w:i/>
                <w:lang w:val="en-GB"/>
              </w:rPr>
              <w:t>(</w:t>
            </w:r>
            <w:r w:rsidR="001F3629" w:rsidRPr="002D465F">
              <w:rPr>
                <w:i/>
                <w:lang w:val="en-GB"/>
              </w:rPr>
              <w:t>N</w:t>
            </w:r>
            <w:r w:rsidR="00C87120" w:rsidRPr="002D465F">
              <w:rPr>
                <w:i/>
                <w:lang w:val="en-GB"/>
              </w:rPr>
              <w:t>o</w:t>
            </w:r>
            <w:r w:rsidR="001F3629" w:rsidRPr="002D465F">
              <w:rPr>
                <w:i/>
                <w:lang w:val="en-GB"/>
              </w:rPr>
              <w:t xml:space="preserve"> – </w:t>
            </w:r>
            <w:r w:rsidR="005B1DBD" w:rsidRPr="002D465F">
              <w:rPr>
                <w:i/>
                <w:lang w:val="en-GB"/>
              </w:rPr>
              <w:t>follow to next question</w:t>
            </w:r>
            <w:r w:rsidRPr="002D465F">
              <w:rPr>
                <w:i/>
                <w:lang w:val="en-GB"/>
              </w:rPr>
              <w:t>)</w:t>
            </w:r>
          </w:p>
        </w:tc>
      </w:tr>
      <w:tr w:rsidR="001F3629" w:rsidRPr="006042B8" w:rsidTr="003522DC">
        <w:trPr>
          <w:trHeight w:val="340"/>
        </w:trPr>
        <w:tc>
          <w:tcPr>
            <w:tcW w:w="3549" w:type="dxa"/>
            <w:shd w:val="clear" w:color="auto" w:fill="D8E6DF" w:themeFill="accent1" w:themeFillTint="33"/>
          </w:tcPr>
          <w:p w:rsidR="002D465F" w:rsidRDefault="002D465F" w:rsidP="00605B1C">
            <w:pPr>
              <w:ind w:firstLine="0"/>
              <w:rPr>
                <w:szCs w:val="24"/>
                <w:lang w:val="en-GB"/>
              </w:rPr>
            </w:pPr>
            <w:r w:rsidRPr="00850D53">
              <w:rPr>
                <w:szCs w:val="24"/>
              </w:rPr>
              <w:t xml:space="preserve">Ste </w:t>
            </w:r>
            <w:r>
              <w:rPr>
                <w:szCs w:val="24"/>
              </w:rPr>
              <w:t>niektorým z uvedených subjektov?</w:t>
            </w:r>
            <w:r w:rsidRPr="006042B8">
              <w:rPr>
                <w:szCs w:val="24"/>
                <w:lang w:val="en-GB"/>
              </w:rPr>
              <w:t xml:space="preserve"> </w:t>
            </w:r>
          </w:p>
          <w:p w:rsidR="001F3629" w:rsidRPr="006042B8" w:rsidRDefault="002D465F" w:rsidP="00605B1C">
            <w:pPr>
              <w:ind w:firstLine="0"/>
              <w:rPr>
                <w:szCs w:val="24"/>
                <w:lang w:val="en-GB"/>
              </w:rPr>
            </w:pPr>
            <w:r w:rsidRPr="002D465F">
              <w:rPr>
                <w:i/>
                <w:sz w:val="20"/>
                <w:szCs w:val="20"/>
                <w:lang w:val="en-GB"/>
              </w:rPr>
              <w:t>(Are you any of stated entities?)</w:t>
            </w:r>
            <w:r w:rsidR="005B1DBD" w:rsidRPr="006042B8">
              <w:rPr>
                <w:szCs w:val="24"/>
                <w:lang w:val="en-GB"/>
              </w:rPr>
              <w:br/>
            </w:r>
          </w:p>
        </w:tc>
        <w:tc>
          <w:tcPr>
            <w:tcW w:w="6305" w:type="dxa"/>
          </w:tcPr>
          <w:p w:rsidR="002D465F" w:rsidRDefault="00B83296" w:rsidP="009C4D0A">
            <w:pPr>
              <w:tabs>
                <w:tab w:val="left" w:pos="680"/>
              </w:tabs>
              <w:ind w:firstLine="0"/>
              <w:rPr>
                <w:lang w:val="en-GB"/>
              </w:rPr>
            </w:pPr>
            <w:sdt>
              <w:sdtPr>
                <w:rPr>
                  <w:lang w:val="en-GB"/>
                </w:rPr>
                <w:id w:val="-1593306895"/>
                <w14:checkbox>
                  <w14:checked w14:val="0"/>
                  <w14:checkedState w14:val="2612" w14:font="MS Gothic"/>
                  <w14:uncheckedState w14:val="2610" w14:font="MS Gothic"/>
                </w14:checkbox>
              </w:sdtPr>
              <w:sdtEndPr/>
              <w:sdtContent>
                <w:r w:rsidR="005B1DBD" w:rsidRPr="006042B8">
                  <w:rPr>
                    <w:rFonts w:ascii="MS Gothic" w:eastAsia="MS Gothic" w:hAnsi="MS Gothic"/>
                    <w:lang w:val="en-GB"/>
                  </w:rPr>
                  <w:t>☐</w:t>
                </w:r>
              </w:sdtContent>
            </w:sdt>
            <w:r w:rsidR="001F3629" w:rsidRPr="006042B8">
              <w:rPr>
                <w:lang w:val="en-GB"/>
              </w:rPr>
              <w:t xml:space="preserve"> </w:t>
            </w:r>
            <w:r w:rsidR="002D465F">
              <w:t xml:space="preserve">som slovenskou finančnou inštitúciou </w:t>
            </w:r>
            <w:r w:rsidR="009C4D0A">
              <w:t>– uveďte Vaše GIN</w:t>
            </w:r>
          </w:p>
          <w:p w:rsidR="001F3629" w:rsidRPr="006042B8" w:rsidRDefault="009C4D0A" w:rsidP="009C4D0A">
            <w:pPr>
              <w:ind w:left="279" w:firstLine="0"/>
              <w:rPr>
                <w:lang w:val="en-GB"/>
              </w:rPr>
            </w:pPr>
            <w:r>
              <w:rPr>
                <w:i/>
                <w:sz w:val="20"/>
                <w:szCs w:val="20"/>
                <w:lang w:val="en-GB"/>
              </w:rPr>
              <w:t>(</w:t>
            </w:r>
            <w:r w:rsidR="005B1DBD" w:rsidRPr="002D465F">
              <w:rPr>
                <w:i/>
                <w:sz w:val="20"/>
                <w:szCs w:val="20"/>
                <w:lang w:val="en-GB"/>
              </w:rPr>
              <w:t>Slovak Financial Institution</w:t>
            </w:r>
            <w:r w:rsidR="001F3629" w:rsidRPr="002D465F">
              <w:rPr>
                <w:rStyle w:val="Odkaznavysvetlivku"/>
                <w:lang w:val="en-GB"/>
              </w:rPr>
              <w:endnoteReference w:id="10"/>
            </w:r>
            <w:r w:rsidR="001F3629" w:rsidRPr="002D465F">
              <w:rPr>
                <w:i/>
                <w:sz w:val="20"/>
                <w:szCs w:val="20"/>
                <w:lang w:val="en-GB"/>
              </w:rPr>
              <w:t xml:space="preserve"> – </w:t>
            </w:r>
            <w:r w:rsidR="005B1DBD" w:rsidRPr="002D465F">
              <w:rPr>
                <w:i/>
                <w:sz w:val="20"/>
                <w:szCs w:val="20"/>
                <w:lang w:val="en-GB"/>
              </w:rPr>
              <w:t>provide your</w:t>
            </w:r>
            <w:r w:rsidR="001F3629" w:rsidRPr="002D465F">
              <w:rPr>
                <w:i/>
                <w:sz w:val="20"/>
                <w:szCs w:val="20"/>
                <w:lang w:val="en-GB"/>
              </w:rPr>
              <w:t xml:space="preserve"> GIN</w:t>
            </w:r>
            <w:r>
              <w:rPr>
                <w:i/>
                <w:sz w:val="20"/>
                <w:szCs w:val="20"/>
                <w:lang w:val="en-GB"/>
              </w:rPr>
              <w:t>)</w:t>
            </w:r>
            <w:r w:rsidR="001F3629" w:rsidRPr="002D465F">
              <w:rPr>
                <w:i/>
                <w:sz w:val="20"/>
                <w:szCs w:val="20"/>
                <w:lang w:val="en-GB"/>
              </w:rPr>
              <w:t>:</w:t>
            </w:r>
            <w:r w:rsidR="002D465F">
              <w:rPr>
                <w:i/>
                <w:sz w:val="20"/>
                <w:szCs w:val="20"/>
                <w:lang w:val="en-GB"/>
              </w:rPr>
              <w:t xml:space="preserve"> </w:t>
            </w:r>
            <w:sdt>
              <w:sdtPr>
                <w:rPr>
                  <w:lang w:val="en-GB"/>
                </w:rPr>
                <w:id w:val="-842548506"/>
                <w:showingPlcHdr/>
              </w:sdtPr>
              <w:sdtEndPr/>
              <w:sdtContent>
                <w:r w:rsidR="001F3629" w:rsidRPr="006042B8">
                  <w:rPr>
                    <w:rStyle w:val="Textzstupnhosymbolu"/>
                    <w:color w:val="FFFFFF" w:themeColor="background1"/>
                    <w:shd w:val="pct5" w:color="auto" w:fill="auto"/>
                    <w:lang w:val="en-GB"/>
                    <w14:textFill>
                      <w14:noFill/>
                    </w14:textFill>
                  </w:rPr>
                  <w:t>Kliknutím zadáte text.</w:t>
                </w:r>
              </w:sdtContent>
            </w:sdt>
          </w:p>
          <w:p w:rsidR="001F3629" w:rsidRPr="009C4D0A" w:rsidRDefault="00B83296" w:rsidP="009C4D0A">
            <w:pPr>
              <w:ind w:left="279" w:hanging="279"/>
            </w:pPr>
            <w:sdt>
              <w:sdtPr>
                <w:rPr>
                  <w:lang w:val="en-GB"/>
                </w:rPr>
                <w:id w:val="-1688584881"/>
                <w14:checkbox>
                  <w14:checked w14:val="0"/>
                  <w14:checkedState w14:val="2612" w14:font="MS Gothic"/>
                  <w14:uncheckedState w14:val="2610" w14:font="MS Gothic"/>
                </w14:checkbox>
              </w:sdtPr>
              <w:sdtEndPr/>
              <w:sdtContent>
                <w:r w:rsidR="001F3629" w:rsidRPr="006042B8">
                  <w:rPr>
                    <w:rFonts w:ascii="MS Gothic" w:eastAsia="MS Gothic" w:hAnsi="MS Gothic"/>
                    <w:lang w:val="en-GB"/>
                  </w:rPr>
                  <w:t>☐</w:t>
                </w:r>
              </w:sdtContent>
            </w:sdt>
            <w:r w:rsidR="001F3629" w:rsidRPr="006042B8">
              <w:rPr>
                <w:lang w:val="en-GB"/>
              </w:rPr>
              <w:t xml:space="preserve"> </w:t>
            </w:r>
            <w:r w:rsidR="009C4D0A">
              <w:t xml:space="preserve">som finančnou inštitúciou v jurisdikcii partnerského štátu – uveďte Vaše GIN </w:t>
            </w:r>
            <w:r w:rsidR="009C4D0A" w:rsidRPr="009C4D0A">
              <w:rPr>
                <w:i/>
                <w:sz w:val="20"/>
                <w:szCs w:val="20"/>
                <w:lang w:val="en-GB"/>
              </w:rPr>
              <w:t>(</w:t>
            </w:r>
            <w:r w:rsidR="005B1DBD" w:rsidRPr="009C4D0A">
              <w:rPr>
                <w:i/>
                <w:sz w:val="20"/>
                <w:szCs w:val="20"/>
                <w:lang w:val="en-GB"/>
              </w:rPr>
              <w:t>F</w:t>
            </w:r>
            <w:r w:rsidR="001F3629" w:rsidRPr="009C4D0A">
              <w:rPr>
                <w:i/>
                <w:sz w:val="20"/>
                <w:szCs w:val="20"/>
                <w:lang w:val="en-GB"/>
              </w:rPr>
              <w:t>inan</w:t>
            </w:r>
            <w:r w:rsidR="005B1DBD" w:rsidRPr="009C4D0A">
              <w:rPr>
                <w:i/>
                <w:sz w:val="20"/>
                <w:szCs w:val="20"/>
                <w:lang w:val="en-GB"/>
              </w:rPr>
              <w:t>cial Institution in</w:t>
            </w:r>
            <w:r w:rsidR="006042B8" w:rsidRPr="009C4D0A">
              <w:rPr>
                <w:i/>
                <w:sz w:val="20"/>
                <w:szCs w:val="20"/>
                <w:lang w:val="en-GB"/>
              </w:rPr>
              <w:t xml:space="preserve"> Partner Jurisdiction</w:t>
            </w:r>
            <w:r w:rsidR="001F3629" w:rsidRPr="00D91A96">
              <w:rPr>
                <w:rStyle w:val="Odkaznavysvetlivku"/>
                <w:lang w:val="en-GB"/>
              </w:rPr>
              <w:endnoteReference w:id="11"/>
            </w:r>
            <w:r w:rsidR="001F3629" w:rsidRPr="00D91A96">
              <w:rPr>
                <w:rStyle w:val="Odkaznavysvetlivku"/>
              </w:rPr>
              <w:t xml:space="preserve"> </w:t>
            </w:r>
            <w:r w:rsidR="001F3629" w:rsidRPr="009C4D0A">
              <w:rPr>
                <w:i/>
                <w:sz w:val="20"/>
                <w:szCs w:val="20"/>
                <w:lang w:val="en-GB"/>
              </w:rPr>
              <w:t xml:space="preserve">– </w:t>
            </w:r>
            <w:r w:rsidR="005B1DBD" w:rsidRPr="009C4D0A">
              <w:rPr>
                <w:i/>
                <w:sz w:val="20"/>
                <w:szCs w:val="20"/>
                <w:lang w:val="en-GB"/>
              </w:rPr>
              <w:t>provide your</w:t>
            </w:r>
            <w:r w:rsidR="001F3629" w:rsidRPr="009C4D0A">
              <w:rPr>
                <w:i/>
                <w:sz w:val="20"/>
                <w:szCs w:val="20"/>
                <w:lang w:val="en-GB"/>
              </w:rPr>
              <w:t xml:space="preserve"> GIN</w:t>
            </w:r>
            <w:r w:rsidR="009C4D0A" w:rsidRPr="009C4D0A">
              <w:rPr>
                <w:i/>
                <w:sz w:val="20"/>
                <w:szCs w:val="20"/>
                <w:lang w:val="en-GB"/>
              </w:rPr>
              <w:t>):</w:t>
            </w:r>
            <w:r w:rsidR="001F3629" w:rsidRPr="006042B8">
              <w:rPr>
                <w:lang w:val="en-GB"/>
              </w:rPr>
              <w:t xml:space="preserve"> </w:t>
            </w:r>
            <w:sdt>
              <w:sdtPr>
                <w:rPr>
                  <w:lang w:val="en-GB"/>
                </w:rPr>
                <w:id w:val="-1037351208"/>
                <w:showingPlcHdr/>
              </w:sdtPr>
              <w:sdtEndPr/>
              <w:sdtContent>
                <w:r w:rsidR="001F3629" w:rsidRPr="006042B8">
                  <w:rPr>
                    <w:rStyle w:val="Textzstupnhosymbolu"/>
                    <w:color w:val="FFFFFF" w:themeColor="background1"/>
                    <w:shd w:val="pct5" w:color="auto" w:fill="auto"/>
                    <w:lang w:val="en-GB"/>
                    <w14:textFill>
                      <w14:noFill/>
                    </w14:textFill>
                  </w:rPr>
                  <w:t>Kliknutím zadáte text.</w:t>
                </w:r>
              </w:sdtContent>
            </w:sdt>
          </w:p>
          <w:p w:rsidR="009C4D0A" w:rsidRDefault="00B83296" w:rsidP="009C4D0A">
            <w:pPr>
              <w:tabs>
                <w:tab w:val="left" w:pos="680"/>
              </w:tabs>
              <w:ind w:firstLine="0"/>
              <w:rPr>
                <w:lang w:val="en-GB"/>
              </w:rPr>
            </w:pPr>
            <w:sdt>
              <w:sdtPr>
                <w:rPr>
                  <w:lang w:val="en-GB"/>
                </w:rPr>
                <w:id w:val="1931776498"/>
                <w14:checkbox>
                  <w14:checked w14:val="0"/>
                  <w14:checkedState w14:val="2612" w14:font="MS Gothic"/>
                  <w14:uncheckedState w14:val="2610" w14:font="MS Gothic"/>
                </w14:checkbox>
              </w:sdtPr>
              <w:sdtEndPr/>
              <w:sdtContent>
                <w:r w:rsidR="001F3629" w:rsidRPr="006042B8">
                  <w:rPr>
                    <w:rFonts w:ascii="MS Gothic" w:eastAsia="MS Gothic" w:hAnsi="MS Gothic"/>
                    <w:lang w:val="en-GB"/>
                  </w:rPr>
                  <w:t>☐</w:t>
                </w:r>
              </w:sdtContent>
            </w:sdt>
            <w:r w:rsidR="001F3629" w:rsidRPr="006042B8">
              <w:rPr>
                <w:lang w:val="en-GB"/>
              </w:rPr>
              <w:t xml:space="preserve"> </w:t>
            </w:r>
            <w:r w:rsidR="009C4D0A">
              <w:t>som zúčastnenou zahraničnou finančnou inštitúciou</w:t>
            </w:r>
            <w:r w:rsidR="009C4D0A" w:rsidRPr="006042B8">
              <w:rPr>
                <w:lang w:val="en-GB"/>
              </w:rPr>
              <w:t xml:space="preserve"> </w:t>
            </w:r>
            <w:r w:rsidR="009C4D0A">
              <w:rPr>
                <w:lang w:val="en-GB"/>
              </w:rPr>
              <w:t xml:space="preserve"> </w:t>
            </w:r>
          </w:p>
          <w:p w:rsidR="001F3629" w:rsidRPr="006042B8" w:rsidRDefault="009C4D0A" w:rsidP="009C4D0A">
            <w:pPr>
              <w:tabs>
                <w:tab w:val="left" w:pos="680"/>
              </w:tabs>
              <w:ind w:left="279" w:firstLine="0"/>
              <w:rPr>
                <w:lang w:val="en-GB"/>
              </w:rPr>
            </w:pPr>
            <w:r w:rsidRPr="009C4D0A">
              <w:rPr>
                <w:i/>
                <w:sz w:val="20"/>
                <w:szCs w:val="20"/>
                <w:lang w:val="en-GB"/>
              </w:rPr>
              <w:t>(</w:t>
            </w:r>
            <w:r w:rsidR="005B1DBD" w:rsidRPr="009C4D0A">
              <w:rPr>
                <w:i/>
                <w:sz w:val="20"/>
                <w:szCs w:val="20"/>
                <w:lang w:val="en-GB"/>
              </w:rPr>
              <w:t>Participating Foreign Financial Institution</w:t>
            </w:r>
            <w:r w:rsidRPr="009C4D0A">
              <w:rPr>
                <w:i/>
                <w:sz w:val="20"/>
                <w:szCs w:val="20"/>
                <w:lang w:val="en-GB"/>
              </w:rPr>
              <w:t>)</w:t>
            </w:r>
            <w:r w:rsidR="001F3629" w:rsidRPr="006042B8">
              <w:rPr>
                <w:rStyle w:val="Odkaznavysvetlivku"/>
                <w:lang w:val="en-GB"/>
              </w:rPr>
              <w:endnoteReference w:id="12"/>
            </w:r>
          </w:p>
          <w:p w:rsidR="009C4D0A" w:rsidRDefault="00B83296" w:rsidP="009C4D0A">
            <w:pPr>
              <w:tabs>
                <w:tab w:val="left" w:pos="680"/>
              </w:tabs>
              <w:ind w:left="279" w:hanging="279"/>
              <w:rPr>
                <w:lang w:val="en-GB"/>
              </w:rPr>
            </w:pPr>
            <w:sdt>
              <w:sdtPr>
                <w:rPr>
                  <w:lang w:val="en-GB"/>
                </w:rPr>
                <w:id w:val="-537120901"/>
                <w14:checkbox>
                  <w14:checked w14:val="0"/>
                  <w14:checkedState w14:val="2612" w14:font="MS Gothic"/>
                  <w14:uncheckedState w14:val="2610" w14:font="MS Gothic"/>
                </w14:checkbox>
              </w:sdtPr>
              <w:sdtEndPr/>
              <w:sdtContent>
                <w:r w:rsidR="001F3629" w:rsidRPr="006042B8">
                  <w:rPr>
                    <w:rFonts w:ascii="MS Gothic" w:eastAsia="MS Gothic" w:hAnsi="MS Gothic"/>
                    <w:lang w:val="en-GB"/>
                  </w:rPr>
                  <w:t>☐</w:t>
                </w:r>
              </w:sdtContent>
            </w:sdt>
            <w:r w:rsidR="001F3629" w:rsidRPr="006042B8">
              <w:rPr>
                <w:lang w:val="en-GB"/>
              </w:rPr>
              <w:t xml:space="preserve"> </w:t>
            </w:r>
            <w:r w:rsidR="009C4D0A">
              <w:t>som zahraničnou inštitúciou spĺňajúcou požiadavky zákona FATCA</w:t>
            </w:r>
            <w:r w:rsidR="009C4D0A" w:rsidRPr="006042B8">
              <w:rPr>
                <w:lang w:val="en-GB"/>
              </w:rPr>
              <w:t xml:space="preserve"> </w:t>
            </w:r>
          </w:p>
          <w:p w:rsidR="001F3629" w:rsidRPr="006042B8" w:rsidRDefault="009C4D0A" w:rsidP="009C4D0A">
            <w:pPr>
              <w:tabs>
                <w:tab w:val="left" w:pos="680"/>
              </w:tabs>
              <w:ind w:left="279" w:firstLine="0"/>
              <w:rPr>
                <w:lang w:val="en-GB"/>
              </w:rPr>
            </w:pPr>
            <w:r w:rsidRPr="009C4D0A">
              <w:rPr>
                <w:i/>
                <w:sz w:val="20"/>
                <w:szCs w:val="20"/>
                <w:lang w:val="en-GB"/>
              </w:rPr>
              <w:t>(</w:t>
            </w:r>
            <w:r w:rsidR="005B1DBD" w:rsidRPr="009C4D0A">
              <w:rPr>
                <w:i/>
                <w:sz w:val="20"/>
                <w:szCs w:val="20"/>
                <w:lang w:val="en-GB"/>
              </w:rPr>
              <w:t>Foreign Institution complying with requirements of the FATCA act</w:t>
            </w:r>
            <w:r>
              <w:rPr>
                <w:i/>
                <w:sz w:val="20"/>
                <w:szCs w:val="20"/>
                <w:lang w:val="en-GB"/>
              </w:rPr>
              <w:t>)</w:t>
            </w:r>
            <w:r w:rsidR="001F3629" w:rsidRPr="006042B8">
              <w:rPr>
                <w:rStyle w:val="Odkaznavysvetlivku"/>
                <w:lang w:val="en-GB"/>
              </w:rPr>
              <w:endnoteReference w:id="13"/>
            </w:r>
          </w:p>
          <w:p w:rsidR="009C4D0A" w:rsidRDefault="00B83296" w:rsidP="009C4D0A">
            <w:pPr>
              <w:tabs>
                <w:tab w:val="left" w:pos="2020"/>
              </w:tabs>
              <w:ind w:firstLine="0"/>
              <w:rPr>
                <w:lang w:val="en-GB"/>
              </w:rPr>
            </w:pPr>
            <w:sdt>
              <w:sdtPr>
                <w:rPr>
                  <w:lang w:val="en-GB"/>
                </w:rPr>
                <w:id w:val="-911617350"/>
                <w14:checkbox>
                  <w14:checked w14:val="0"/>
                  <w14:checkedState w14:val="2612" w14:font="MS Gothic"/>
                  <w14:uncheckedState w14:val="2610" w14:font="MS Gothic"/>
                </w14:checkbox>
              </w:sdtPr>
              <w:sdtEndPr/>
              <w:sdtContent>
                <w:r w:rsidR="001F3629" w:rsidRPr="006042B8">
                  <w:rPr>
                    <w:rFonts w:ascii="MS Gothic" w:eastAsia="MS Gothic" w:hAnsi="MS Gothic"/>
                    <w:lang w:val="en-GB"/>
                  </w:rPr>
                  <w:t>☐</w:t>
                </w:r>
              </w:sdtContent>
            </w:sdt>
            <w:r w:rsidR="001F3629" w:rsidRPr="006042B8">
              <w:rPr>
                <w:lang w:val="en-GB"/>
              </w:rPr>
              <w:t xml:space="preserve"> </w:t>
            </w:r>
            <w:r w:rsidR="009C4D0A">
              <w:t>som oslobodeným skutočným vlastníkom príjmu</w:t>
            </w:r>
            <w:r w:rsidR="009C4D0A" w:rsidRPr="006042B8">
              <w:rPr>
                <w:lang w:val="en-GB"/>
              </w:rPr>
              <w:t xml:space="preserve"> </w:t>
            </w:r>
          </w:p>
          <w:p w:rsidR="001F3629" w:rsidRPr="006042B8" w:rsidRDefault="009C4D0A" w:rsidP="009C4D0A">
            <w:pPr>
              <w:tabs>
                <w:tab w:val="left" w:pos="680"/>
              </w:tabs>
              <w:ind w:left="279" w:firstLine="0"/>
              <w:rPr>
                <w:lang w:val="en-GB"/>
              </w:rPr>
            </w:pPr>
            <w:r>
              <w:rPr>
                <w:i/>
                <w:sz w:val="20"/>
                <w:szCs w:val="20"/>
                <w:lang w:val="en-GB"/>
              </w:rPr>
              <w:t>(</w:t>
            </w:r>
            <w:r w:rsidR="006042B8" w:rsidRPr="009C4D0A">
              <w:rPr>
                <w:i/>
                <w:sz w:val="20"/>
                <w:szCs w:val="20"/>
                <w:lang w:val="en-GB"/>
              </w:rPr>
              <w:t>Exempt Beneficial Owner</w:t>
            </w:r>
            <w:r w:rsidR="001F3629" w:rsidRPr="009C4D0A">
              <w:rPr>
                <w:i/>
                <w:sz w:val="20"/>
                <w:szCs w:val="20"/>
                <w:lang w:val="en-GB"/>
              </w:rPr>
              <w:t xml:space="preserve"> </w:t>
            </w:r>
            <w:r w:rsidR="006042B8" w:rsidRPr="009C4D0A">
              <w:rPr>
                <w:i/>
                <w:sz w:val="20"/>
                <w:szCs w:val="20"/>
                <w:lang w:val="en-GB"/>
              </w:rPr>
              <w:t>of income</w:t>
            </w:r>
            <w:r>
              <w:rPr>
                <w:i/>
                <w:sz w:val="20"/>
                <w:szCs w:val="20"/>
                <w:lang w:val="en-GB"/>
              </w:rPr>
              <w:t>)</w:t>
            </w:r>
            <w:r w:rsidR="001F3629" w:rsidRPr="006042B8">
              <w:rPr>
                <w:rStyle w:val="Odkaznavysvetlivku"/>
                <w:lang w:val="en-GB"/>
              </w:rPr>
              <w:endnoteReference w:id="14"/>
            </w:r>
          </w:p>
          <w:p w:rsidR="001F3629" w:rsidRPr="006042B8" w:rsidRDefault="00B83296" w:rsidP="009C4D0A">
            <w:pPr>
              <w:tabs>
                <w:tab w:val="left" w:pos="1350"/>
              </w:tabs>
              <w:ind w:left="279" w:hanging="279"/>
              <w:rPr>
                <w:lang w:val="en-GB"/>
              </w:rPr>
            </w:pPr>
            <w:sdt>
              <w:sdtPr>
                <w:rPr>
                  <w:lang w:val="en-GB"/>
                </w:rPr>
                <w:id w:val="-1852016399"/>
                <w14:checkbox>
                  <w14:checked w14:val="0"/>
                  <w14:checkedState w14:val="2612" w14:font="MS Gothic"/>
                  <w14:uncheckedState w14:val="2610" w14:font="MS Gothic"/>
                </w14:checkbox>
              </w:sdtPr>
              <w:sdtEndPr/>
              <w:sdtContent>
                <w:r w:rsidR="001F3629" w:rsidRPr="006042B8">
                  <w:rPr>
                    <w:rFonts w:ascii="MS Gothic" w:eastAsia="MS Gothic" w:hAnsi="MS Gothic"/>
                    <w:lang w:val="en-GB"/>
                  </w:rPr>
                  <w:t>☐</w:t>
                </w:r>
              </w:sdtContent>
            </w:sdt>
            <w:r w:rsidR="001F3629" w:rsidRPr="006042B8">
              <w:rPr>
                <w:lang w:val="en-GB"/>
              </w:rPr>
              <w:t xml:space="preserve"> </w:t>
            </w:r>
            <w:r w:rsidR="009C4D0A">
              <w:t>nie som žiadnym z uvedených subjektov – pokračujte ďalšou otázkou</w:t>
            </w:r>
            <w:r w:rsidR="009C4D0A" w:rsidRPr="006042B8">
              <w:rPr>
                <w:lang w:val="en-GB"/>
              </w:rPr>
              <w:t xml:space="preserve"> </w:t>
            </w:r>
            <w:r w:rsidR="009C4D0A" w:rsidRPr="009C4D0A">
              <w:rPr>
                <w:i/>
                <w:sz w:val="20"/>
                <w:szCs w:val="20"/>
                <w:lang w:val="en-GB"/>
              </w:rPr>
              <w:t>(</w:t>
            </w:r>
            <w:r w:rsidR="00ED15F3" w:rsidRPr="009C4D0A">
              <w:rPr>
                <w:i/>
                <w:sz w:val="20"/>
                <w:szCs w:val="20"/>
                <w:lang w:val="en-GB"/>
              </w:rPr>
              <w:t xml:space="preserve">I am not any of stated entities </w:t>
            </w:r>
            <w:r w:rsidR="001F3629" w:rsidRPr="009C4D0A">
              <w:rPr>
                <w:i/>
                <w:sz w:val="20"/>
                <w:szCs w:val="20"/>
                <w:lang w:val="en-GB"/>
              </w:rPr>
              <w:t xml:space="preserve">– </w:t>
            </w:r>
            <w:r w:rsidR="00ED15F3" w:rsidRPr="009C4D0A">
              <w:rPr>
                <w:i/>
                <w:sz w:val="20"/>
                <w:szCs w:val="20"/>
                <w:lang w:val="en-GB"/>
              </w:rPr>
              <w:t>follow to next question</w:t>
            </w:r>
            <w:r w:rsidR="009C4D0A" w:rsidRPr="009C4D0A">
              <w:rPr>
                <w:i/>
                <w:sz w:val="20"/>
                <w:szCs w:val="20"/>
                <w:lang w:val="en-GB"/>
              </w:rPr>
              <w:t>)</w:t>
            </w:r>
          </w:p>
        </w:tc>
      </w:tr>
      <w:tr w:rsidR="001F3629" w:rsidTr="003522DC">
        <w:trPr>
          <w:trHeight w:val="340"/>
        </w:trPr>
        <w:tc>
          <w:tcPr>
            <w:tcW w:w="3549" w:type="dxa"/>
            <w:shd w:val="clear" w:color="auto" w:fill="D8E6DF" w:themeFill="accent1" w:themeFillTint="33"/>
          </w:tcPr>
          <w:p w:rsidR="009C4D0A" w:rsidRDefault="009C4D0A" w:rsidP="00605B1C">
            <w:pPr>
              <w:ind w:firstLine="0"/>
              <w:rPr>
                <w:szCs w:val="24"/>
              </w:rPr>
            </w:pPr>
            <w:r>
              <w:rPr>
                <w:szCs w:val="24"/>
              </w:rPr>
              <w:t>Ktorým z uvedených subjektov  ste v zmysle Dohody FATCA?</w:t>
            </w:r>
          </w:p>
          <w:p w:rsidR="001F3629" w:rsidRPr="00207A52" w:rsidRDefault="009C4D0A" w:rsidP="00605B1C">
            <w:pPr>
              <w:ind w:firstLine="0"/>
              <w:rPr>
                <w:szCs w:val="24"/>
              </w:rPr>
            </w:pPr>
            <w:r>
              <w:rPr>
                <w:i/>
                <w:sz w:val="20"/>
                <w:szCs w:val="20"/>
                <w:lang w:val="en-GB"/>
              </w:rPr>
              <w:t>(</w:t>
            </w:r>
            <w:r w:rsidR="005B1DBD" w:rsidRPr="009C4D0A">
              <w:rPr>
                <w:i/>
                <w:sz w:val="20"/>
                <w:szCs w:val="20"/>
                <w:lang w:val="en-GB"/>
              </w:rPr>
              <w:t>Which</w:t>
            </w:r>
            <w:r w:rsidR="0060476E" w:rsidRPr="009C4D0A">
              <w:rPr>
                <w:i/>
                <w:sz w:val="20"/>
                <w:szCs w:val="20"/>
                <w:lang w:val="en-GB"/>
              </w:rPr>
              <w:t xml:space="preserve"> of mentioned entities</w:t>
            </w:r>
            <w:r w:rsidR="005B1DBD" w:rsidRPr="009C4D0A">
              <w:rPr>
                <w:i/>
                <w:sz w:val="20"/>
                <w:szCs w:val="20"/>
                <w:lang w:val="en-GB"/>
              </w:rPr>
              <w:t xml:space="preserve"> are you, according to the FATCA Agreement?</w:t>
            </w:r>
            <w:r w:rsidRPr="009C4D0A">
              <w:rPr>
                <w:i/>
                <w:sz w:val="20"/>
                <w:szCs w:val="20"/>
                <w:lang w:val="en-GB"/>
              </w:rPr>
              <w:t>)</w:t>
            </w:r>
          </w:p>
        </w:tc>
        <w:tc>
          <w:tcPr>
            <w:tcW w:w="6305" w:type="dxa"/>
          </w:tcPr>
          <w:p w:rsidR="009C4D0A" w:rsidRDefault="00B83296" w:rsidP="009C4D0A">
            <w:pPr>
              <w:tabs>
                <w:tab w:val="left" w:pos="1100"/>
              </w:tabs>
              <w:ind w:firstLine="0"/>
              <w:rPr>
                <w:lang w:val="en-GB"/>
              </w:rPr>
            </w:pPr>
            <w:sdt>
              <w:sdtPr>
                <w:id w:val="1407422256"/>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w:t>
            </w:r>
            <w:r w:rsidR="009C4D0A">
              <w:t>som aktívnym nefinančným subjektom</w:t>
            </w:r>
            <w:r w:rsidR="009C4D0A" w:rsidRPr="0071086C">
              <w:rPr>
                <w:lang w:val="en-GB"/>
              </w:rPr>
              <w:t xml:space="preserve"> </w:t>
            </w:r>
          </w:p>
          <w:p w:rsidR="001F3629" w:rsidRDefault="009C4D0A" w:rsidP="009C4D0A">
            <w:pPr>
              <w:tabs>
                <w:tab w:val="left" w:pos="680"/>
              </w:tabs>
              <w:ind w:left="279" w:firstLine="0"/>
            </w:pPr>
            <w:r w:rsidRPr="009C4D0A">
              <w:rPr>
                <w:i/>
                <w:sz w:val="20"/>
                <w:szCs w:val="20"/>
                <w:lang w:val="en-GB"/>
              </w:rPr>
              <w:t>(</w:t>
            </w:r>
            <w:r w:rsidR="001F1734" w:rsidRPr="009C4D0A">
              <w:rPr>
                <w:i/>
                <w:sz w:val="20"/>
                <w:szCs w:val="20"/>
                <w:lang w:val="en-GB"/>
              </w:rPr>
              <w:t>active non-financial entity</w:t>
            </w:r>
            <w:r w:rsidRPr="009C4D0A">
              <w:rPr>
                <w:i/>
                <w:sz w:val="20"/>
                <w:szCs w:val="20"/>
                <w:lang w:val="en-GB"/>
              </w:rPr>
              <w:t>)</w:t>
            </w:r>
            <w:r w:rsidR="001F3629">
              <w:rPr>
                <w:rStyle w:val="Odkaznavysvetlivku"/>
              </w:rPr>
              <w:endnoteReference w:id="15"/>
            </w:r>
          </w:p>
          <w:p w:rsidR="001F3629" w:rsidRPr="00095E74" w:rsidRDefault="00B83296" w:rsidP="00860DD2">
            <w:pPr>
              <w:tabs>
                <w:tab w:val="left" w:pos="1580"/>
              </w:tabs>
              <w:ind w:left="279" w:hanging="279"/>
            </w:pPr>
            <w:sdt>
              <w:sdtPr>
                <w:id w:val="376742207"/>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w:t>
            </w:r>
            <w:r w:rsidR="009C4D0A">
              <w:t>som pasívnym nefinančným subjektom – predložte</w:t>
            </w:r>
            <w:r w:rsidR="00860DD2">
              <w:t xml:space="preserve"> zoznam ovládajúcich osôb </w:t>
            </w:r>
            <w:r w:rsidR="009C4D0A" w:rsidRPr="009C4D0A">
              <w:rPr>
                <w:i/>
                <w:sz w:val="20"/>
                <w:szCs w:val="20"/>
              </w:rPr>
              <w:t>(</w:t>
            </w:r>
            <w:r w:rsidR="001F3629" w:rsidRPr="009C4D0A">
              <w:rPr>
                <w:i/>
                <w:sz w:val="20"/>
                <w:szCs w:val="20"/>
                <w:lang w:val="en-GB"/>
              </w:rPr>
              <w:t>pa</w:t>
            </w:r>
            <w:r w:rsidR="004A2A58" w:rsidRPr="009C4D0A">
              <w:rPr>
                <w:i/>
                <w:sz w:val="20"/>
                <w:szCs w:val="20"/>
                <w:lang w:val="en-GB"/>
              </w:rPr>
              <w:t>s</w:t>
            </w:r>
            <w:r w:rsidR="001F3629" w:rsidRPr="009C4D0A">
              <w:rPr>
                <w:i/>
                <w:sz w:val="20"/>
                <w:szCs w:val="20"/>
                <w:lang w:val="en-GB"/>
              </w:rPr>
              <w:t>s</w:t>
            </w:r>
            <w:r w:rsidR="001F1734" w:rsidRPr="009C4D0A">
              <w:rPr>
                <w:i/>
                <w:sz w:val="20"/>
                <w:szCs w:val="20"/>
                <w:lang w:val="en-GB"/>
              </w:rPr>
              <w:t>ive non-financial entity</w:t>
            </w:r>
            <w:r w:rsidR="001F3629" w:rsidRPr="009C4D0A">
              <w:rPr>
                <w:rStyle w:val="Odkaznavysvetlivku"/>
                <w:i/>
                <w:sz w:val="20"/>
                <w:szCs w:val="20"/>
              </w:rPr>
              <w:endnoteReference w:id="16"/>
            </w:r>
            <w:r w:rsidR="001F3629" w:rsidRPr="009C4D0A">
              <w:rPr>
                <w:i/>
                <w:sz w:val="20"/>
                <w:szCs w:val="20"/>
              </w:rPr>
              <w:t xml:space="preserve"> – </w:t>
            </w:r>
            <w:r w:rsidR="001F1734" w:rsidRPr="00860DD2">
              <w:rPr>
                <w:b/>
                <w:i/>
                <w:sz w:val="20"/>
                <w:szCs w:val="20"/>
                <w:lang w:val="en-GB"/>
              </w:rPr>
              <w:t>submit list of controlling persons</w:t>
            </w:r>
            <w:r w:rsidR="001F3629" w:rsidRPr="009C4D0A">
              <w:rPr>
                <w:rStyle w:val="Odkaznavysvetlivku"/>
                <w:i/>
                <w:sz w:val="20"/>
                <w:szCs w:val="20"/>
                <w:lang w:val="en-GB"/>
              </w:rPr>
              <w:endnoteReference w:id="17"/>
            </w:r>
            <w:r w:rsidR="009C4D0A" w:rsidRPr="009C4D0A">
              <w:rPr>
                <w:i/>
                <w:sz w:val="20"/>
                <w:szCs w:val="20"/>
                <w:lang w:val="en-GB"/>
              </w:rPr>
              <w:t>)</w:t>
            </w:r>
          </w:p>
        </w:tc>
      </w:tr>
    </w:tbl>
    <w:p w:rsidR="001F3629" w:rsidRDefault="001F3629" w:rsidP="001F3629">
      <w:pPr>
        <w:ind w:firstLine="0"/>
        <w:rPr>
          <w:b/>
          <w:bCs/>
          <w:szCs w:val="22"/>
        </w:rPr>
      </w:pPr>
    </w:p>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1F3629" w:rsidTr="003522DC">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1F3629" w:rsidRDefault="009C4D0A" w:rsidP="009C4D0A">
            <w:pPr>
              <w:pStyle w:val="Odsekzoznamu"/>
              <w:numPr>
                <w:ilvl w:val="0"/>
                <w:numId w:val="16"/>
              </w:numPr>
              <w:ind w:left="426" w:hanging="426"/>
            </w:pPr>
            <w:r>
              <w:rPr>
                <w:b/>
              </w:rPr>
              <w:t>Čestné vyhlásenie na účely plnenia záväzkov vyplývajúcich zo zákona č. 359/2015 Z. z. o automatickej výmene informácií o finančných účtoch na účely správy daní a o zmene a doplnení niektorých zákonov.</w:t>
            </w:r>
            <w:r>
              <w:t xml:space="preserve"> </w:t>
            </w:r>
            <w:r w:rsidRPr="009C4D0A">
              <w:rPr>
                <w:b/>
                <w:i/>
                <w:sz w:val="20"/>
                <w:szCs w:val="20"/>
                <w:lang w:val="en-GB"/>
              </w:rPr>
              <w:t>(</w:t>
            </w:r>
            <w:r w:rsidR="0060476E" w:rsidRPr="009C4D0A">
              <w:rPr>
                <w:b/>
                <w:i/>
                <w:sz w:val="20"/>
                <w:szCs w:val="20"/>
                <w:lang w:val="en-GB"/>
              </w:rPr>
              <w:t>Statutory declaration for purpose of meeting obligations resulting from the act 359/2015 Coll. on automatic exchange of information on financial accounts for purpose of tax administration and on supplementing and amending certain acts.</w:t>
            </w:r>
            <w:r w:rsidRPr="009C4D0A">
              <w:rPr>
                <w:b/>
              </w:rPr>
              <w:t>)</w:t>
            </w:r>
          </w:p>
        </w:tc>
      </w:tr>
      <w:tr w:rsidR="001F3629" w:rsidTr="003522DC">
        <w:trPr>
          <w:trHeight w:val="340"/>
        </w:trPr>
        <w:tc>
          <w:tcPr>
            <w:tcW w:w="3549" w:type="dxa"/>
            <w:shd w:val="clear" w:color="auto" w:fill="D8E6DF" w:themeFill="accent1" w:themeFillTint="33"/>
          </w:tcPr>
          <w:p w:rsidR="009C4D0A" w:rsidRDefault="009C4D0A" w:rsidP="00605B1C">
            <w:pPr>
              <w:ind w:firstLine="0"/>
              <w:rPr>
                <w:szCs w:val="24"/>
              </w:rPr>
            </w:pPr>
            <w:r w:rsidRPr="00850D53">
              <w:rPr>
                <w:szCs w:val="24"/>
              </w:rPr>
              <w:t xml:space="preserve">Ste </w:t>
            </w:r>
            <w:r>
              <w:rPr>
                <w:szCs w:val="24"/>
              </w:rPr>
              <w:t>niektorým z uvedených subjektov?</w:t>
            </w:r>
          </w:p>
          <w:p w:rsidR="001F3629" w:rsidRPr="009C4D0A" w:rsidRDefault="009C4D0A" w:rsidP="00605B1C">
            <w:pPr>
              <w:ind w:firstLine="0"/>
              <w:rPr>
                <w:i/>
                <w:sz w:val="20"/>
                <w:szCs w:val="20"/>
              </w:rPr>
            </w:pPr>
            <w:r w:rsidRPr="009C4D0A">
              <w:rPr>
                <w:i/>
                <w:sz w:val="20"/>
                <w:szCs w:val="20"/>
              </w:rPr>
              <w:t>(</w:t>
            </w:r>
            <w:r w:rsidRPr="009C4D0A">
              <w:rPr>
                <w:i/>
                <w:sz w:val="20"/>
                <w:szCs w:val="20"/>
                <w:lang w:val="en-GB"/>
              </w:rPr>
              <w:t>Are you any of stated entities?)</w:t>
            </w:r>
            <w:r w:rsidR="00E76FB4" w:rsidRPr="009C4D0A">
              <w:rPr>
                <w:i/>
                <w:sz w:val="20"/>
                <w:szCs w:val="20"/>
                <w:lang w:val="en-GB"/>
              </w:rPr>
              <w:br/>
            </w:r>
          </w:p>
        </w:tc>
        <w:tc>
          <w:tcPr>
            <w:tcW w:w="6305" w:type="dxa"/>
          </w:tcPr>
          <w:p w:rsidR="009C4D0A" w:rsidRDefault="00B83296" w:rsidP="009C4D0A">
            <w:pPr>
              <w:tabs>
                <w:tab w:val="left" w:pos="680"/>
              </w:tabs>
              <w:ind w:left="279" w:hanging="279"/>
              <w:rPr>
                <w:lang w:val="en-GB"/>
              </w:rPr>
            </w:pPr>
            <w:sdt>
              <w:sdtPr>
                <w:id w:val="-1099642478"/>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w:t>
            </w:r>
            <w:r w:rsidR="009C4D0A">
              <w:t>som spoločnosťou, akciami ktorej sa pravidelne obchoduje na jednom alebo viacerých regulovaných trhoch s cennými papiermi</w:t>
            </w:r>
            <w:r w:rsidR="009C4D0A" w:rsidRPr="00E76FB4">
              <w:rPr>
                <w:lang w:val="en-GB"/>
              </w:rPr>
              <w:t xml:space="preserve"> </w:t>
            </w:r>
          </w:p>
          <w:p w:rsidR="001F3629" w:rsidRPr="009C4D0A" w:rsidRDefault="009C4D0A" w:rsidP="009C4D0A">
            <w:pPr>
              <w:tabs>
                <w:tab w:val="left" w:pos="680"/>
              </w:tabs>
              <w:ind w:left="279" w:firstLine="0"/>
              <w:rPr>
                <w:i/>
                <w:sz w:val="20"/>
                <w:szCs w:val="20"/>
              </w:rPr>
            </w:pPr>
            <w:r w:rsidRPr="009C4D0A">
              <w:rPr>
                <w:i/>
                <w:sz w:val="20"/>
                <w:szCs w:val="20"/>
                <w:lang w:val="en-GB"/>
              </w:rPr>
              <w:t>(</w:t>
            </w:r>
            <w:r w:rsidR="00E76FB4" w:rsidRPr="009C4D0A">
              <w:rPr>
                <w:i/>
                <w:sz w:val="20"/>
                <w:szCs w:val="20"/>
                <w:lang w:val="en-GB"/>
              </w:rPr>
              <w:t>company</w:t>
            </w:r>
            <w:r w:rsidR="0071086C" w:rsidRPr="009C4D0A">
              <w:rPr>
                <w:i/>
                <w:sz w:val="20"/>
                <w:szCs w:val="20"/>
                <w:lang w:val="en-GB"/>
              </w:rPr>
              <w:t xml:space="preserve"> the shares of</w:t>
            </w:r>
            <w:r w:rsidR="00E76FB4" w:rsidRPr="009C4D0A">
              <w:rPr>
                <w:i/>
                <w:sz w:val="20"/>
                <w:szCs w:val="20"/>
                <w:lang w:val="en-GB"/>
              </w:rPr>
              <w:t xml:space="preserve"> which are regularly traded on one or more regulated securities markets</w:t>
            </w:r>
            <w:r w:rsidRPr="009C4D0A">
              <w:rPr>
                <w:i/>
                <w:sz w:val="20"/>
                <w:szCs w:val="20"/>
              </w:rPr>
              <w:t>)</w:t>
            </w:r>
          </w:p>
          <w:p w:rsidR="009C4D0A" w:rsidRDefault="00B83296" w:rsidP="009C4D0A">
            <w:pPr>
              <w:tabs>
                <w:tab w:val="left" w:pos="680"/>
              </w:tabs>
              <w:ind w:left="279" w:hanging="279"/>
            </w:pPr>
            <w:sdt>
              <w:sdtPr>
                <w:id w:val="1424695524"/>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w:t>
            </w:r>
            <w:r w:rsidR="009C4D0A">
              <w:t xml:space="preserve">som prepojeným subjektom </w:t>
            </w:r>
            <w:r w:rsidR="009C4D0A" w:rsidRPr="00954262">
              <w:t>so  spoločnosťou, s akciami ktorej sa pravidelne obchoduje na jednom alebo viacerých</w:t>
            </w:r>
            <w:r w:rsidR="009C4D0A">
              <w:t xml:space="preserve"> </w:t>
            </w:r>
            <w:r w:rsidR="009C4D0A" w:rsidRPr="00954262">
              <w:t>regulovaných trhoch s cennými papiermi</w:t>
            </w:r>
            <w:r w:rsidR="009C4D0A">
              <w:t xml:space="preserve"> </w:t>
            </w:r>
          </w:p>
          <w:p w:rsidR="001F3629" w:rsidRDefault="009C4D0A" w:rsidP="009C4D0A">
            <w:pPr>
              <w:tabs>
                <w:tab w:val="left" w:pos="680"/>
              </w:tabs>
              <w:ind w:left="279" w:firstLine="0"/>
            </w:pPr>
            <w:r w:rsidRPr="009C4D0A">
              <w:rPr>
                <w:i/>
                <w:sz w:val="20"/>
                <w:szCs w:val="20"/>
                <w:lang w:val="en-GB"/>
              </w:rPr>
              <w:t>(</w:t>
            </w:r>
            <w:r w:rsidR="0071086C" w:rsidRPr="009C4D0A">
              <w:rPr>
                <w:i/>
                <w:sz w:val="20"/>
                <w:szCs w:val="20"/>
                <w:lang w:val="en-GB"/>
              </w:rPr>
              <w:t>relat</w:t>
            </w:r>
            <w:r w:rsidR="00E76FB4" w:rsidRPr="009C4D0A">
              <w:rPr>
                <w:i/>
                <w:sz w:val="20"/>
                <w:szCs w:val="20"/>
                <w:lang w:val="en-GB"/>
              </w:rPr>
              <w:t>ed</w:t>
            </w:r>
            <w:r w:rsidR="0071086C" w:rsidRPr="009C4D0A">
              <w:rPr>
                <w:i/>
                <w:sz w:val="20"/>
                <w:szCs w:val="20"/>
              </w:rPr>
              <w:t xml:space="preserve"> entity</w:t>
            </w:r>
            <w:r w:rsidR="001F3629">
              <w:rPr>
                <w:rStyle w:val="Odkaznavysvetlivku"/>
              </w:rPr>
              <w:endnoteReference w:id="18"/>
            </w:r>
            <w:r w:rsidR="001F3629">
              <w:t xml:space="preserve"> </w:t>
            </w:r>
            <w:r w:rsidR="0071086C" w:rsidRPr="009C4D0A">
              <w:rPr>
                <w:i/>
                <w:sz w:val="20"/>
                <w:szCs w:val="20"/>
                <w:lang w:val="en-GB"/>
              </w:rPr>
              <w:t>of an</w:t>
            </w:r>
            <w:r w:rsidR="00E76FB4" w:rsidRPr="009C4D0A">
              <w:rPr>
                <w:i/>
                <w:sz w:val="20"/>
                <w:szCs w:val="20"/>
                <w:lang w:val="en-GB"/>
              </w:rPr>
              <w:t xml:space="preserve"> company</w:t>
            </w:r>
            <w:r w:rsidR="0071086C" w:rsidRPr="009C4D0A">
              <w:rPr>
                <w:i/>
                <w:sz w:val="20"/>
                <w:szCs w:val="20"/>
                <w:lang w:val="en-GB"/>
              </w:rPr>
              <w:t xml:space="preserve"> the shares of</w:t>
            </w:r>
            <w:r w:rsidR="00E76FB4" w:rsidRPr="009C4D0A">
              <w:rPr>
                <w:i/>
                <w:sz w:val="20"/>
                <w:szCs w:val="20"/>
                <w:lang w:val="en-GB"/>
              </w:rPr>
              <w:t xml:space="preserve"> which are regularly</w:t>
            </w:r>
            <w:r w:rsidRPr="009C4D0A">
              <w:rPr>
                <w:i/>
                <w:sz w:val="20"/>
                <w:szCs w:val="20"/>
                <w:lang w:val="en-GB"/>
              </w:rPr>
              <w:t xml:space="preserve"> </w:t>
            </w:r>
            <w:r w:rsidR="00E76FB4" w:rsidRPr="009C4D0A">
              <w:rPr>
                <w:i/>
                <w:sz w:val="20"/>
                <w:szCs w:val="20"/>
                <w:lang w:val="en-GB"/>
              </w:rPr>
              <w:t>traded on one or more regulated securities markets</w:t>
            </w:r>
            <w:r w:rsidRPr="009C4D0A">
              <w:rPr>
                <w:i/>
                <w:sz w:val="20"/>
                <w:szCs w:val="20"/>
              </w:rPr>
              <w:t>)</w:t>
            </w:r>
          </w:p>
          <w:p w:rsidR="001F3629" w:rsidRPr="00E76FB4" w:rsidRDefault="00B83296" w:rsidP="003522DC">
            <w:pPr>
              <w:tabs>
                <w:tab w:val="left" w:pos="680"/>
              </w:tabs>
              <w:ind w:firstLine="0"/>
              <w:rPr>
                <w:lang w:val="en-GB"/>
              </w:rPr>
            </w:pPr>
            <w:sdt>
              <w:sdtPr>
                <w:id w:val="-723899553"/>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rsidRPr="00E76FB4">
              <w:rPr>
                <w:lang w:val="en-GB"/>
              </w:rPr>
              <w:t xml:space="preserve"> </w:t>
            </w:r>
            <w:r w:rsidR="0049294F">
              <w:t>som verejným orgánom</w:t>
            </w:r>
            <w:r w:rsidR="0049294F" w:rsidRPr="00E76FB4">
              <w:rPr>
                <w:lang w:val="en-GB"/>
              </w:rPr>
              <w:t xml:space="preserve"> </w:t>
            </w:r>
            <w:r w:rsidR="0049294F" w:rsidRPr="0049294F">
              <w:rPr>
                <w:i/>
                <w:sz w:val="20"/>
                <w:szCs w:val="20"/>
                <w:lang w:val="en-GB"/>
              </w:rPr>
              <w:t>(</w:t>
            </w:r>
            <w:r w:rsidR="00E76FB4" w:rsidRPr="0049294F">
              <w:rPr>
                <w:i/>
                <w:sz w:val="20"/>
                <w:szCs w:val="20"/>
                <w:lang w:val="en-GB"/>
              </w:rPr>
              <w:t>public body</w:t>
            </w:r>
            <w:r w:rsidR="0049294F" w:rsidRPr="0049294F">
              <w:rPr>
                <w:i/>
                <w:sz w:val="20"/>
                <w:szCs w:val="20"/>
                <w:lang w:val="en-GB"/>
              </w:rPr>
              <w:t>)</w:t>
            </w:r>
            <w:r w:rsidR="001F3629" w:rsidRPr="00E76FB4">
              <w:rPr>
                <w:rStyle w:val="Odkaznavysvetlivku"/>
                <w:lang w:val="en-GB"/>
              </w:rPr>
              <w:endnoteReference w:id="19"/>
            </w:r>
          </w:p>
          <w:p w:rsidR="001F3629" w:rsidRPr="00E76FB4" w:rsidRDefault="00B83296" w:rsidP="003522DC">
            <w:pPr>
              <w:tabs>
                <w:tab w:val="left" w:pos="680"/>
              </w:tabs>
              <w:ind w:firstLine="0"/>
              <w:rPr>
                <w:lang w:val="en-GB"/>
              </w:rPr>
            </w:pPr>
            <w:sdt>
              <w:sdtPr>
                <w:rPr>
                  <w:lang w:val="en-GB"/>
                </w:rPr>
                <w:id w:val="1016192974"/>
                <w14:checkbox>
                  <w14:checked w14:val="0"/>
                  <w14:checkedState w14:val="2612" w14:font="MS Gothic"/>
                  <w14:uncheckedState w14:val="2610" w14:font="MS Gothic"/>
                </w14:checkbox>
              </w:sdtPr>
              <w:sdtEndPr/>
              <w:sdtContent>
                <w:r w:rsidR="001F3629" w:rsidRPr="00E76FB4">
                  <w:rPr>
                    <w:rFonts w:ascii="MS Gothic" w:eastAsia="MS Gothic" w:hAnsi="MS Gothic"/>
                    <w:lang w:val="en-GB"/>
                  </w:rPr>
                  <w:t>☐</w:t>
                </w:r>
              </w:sdtContent>
            </w:sdt>
            <w:r w:rsidR="001F3629" w:rsidRPr="00E76FB4">
              <w:rPr>
                <w:lang w:val="en-GB"/>
              </w:rPr>
              <w:t xml:space="preserve"> </w:t>
            </w:r>
            <w:r w:rsidR="0049294F">
              <w:t>som medzinárodnou organizáciou</w:t>
            </w:r>
            <w:r w:rsidR="0049294F" w:rsidRPr="00E76FB4">
              <w:rPr>
                <w:lang w:val="en-GB"/>
              </w:rPr>
              <w:t xml:space="preserve"> </w:t>
            </w:r>
            <w:r w:rsidR="0049294F" w:rsidRPr="0049294F">
              <w:rPr>
                <w:i/>
                <w:sz w:val="20"/>
                <w:szCs w:val="20"/>
                <w:lang w:val="en-GB"/>
              </w:rPr>
              <w:t>(</w:t>
            </w:r>
            <w:r w:rsidR="00E76FB4" w:rsidRPr="0049294F">
              <w:rPr>
                <w:i/>
                <w:sz w:val="20"/>
                <w:szCs w:val="20"/>
                <w:lang w:val="en-GB"/>
              </w:rPr>
              <w:t>International Organisation</w:t>
            </w:r>
            <w:r w:rsidR="0049294F" w:rsidRPr="0049294F">
              <w:rPr>
                <w:i/>
                <w:sz w:val="20"/>
                <w:szCs w:val="20"/>
                <w:lang w:val="en-GB"/>
              </w:rPr>
              <w:t>)</w:t>
            </w:r>
            <w:r w:rsidR="001F3629" w:rsidRPr="00E76FB4">
              <w:rPr>
                <w:rStyle w:val="Odkaznavysvetlivku"/>
                <w:lang w:val="en-GB"/>
              </w:rPr>
              <w:endnoteReference w:id="20"/>
            </w:r>
          </w:p>
          <w:p w:rsidR="001F3629" w:rsidRPr="00E76FB4" w:rsidRDefault="00B83296" w:rsidP="003522DC">
            <w:pPr>
              <w:tabs>
                <w:tab w:val="left" w:pos="2020"/>
              </w:tabs>
              <w:ind w:firstLine="0"/>
              <w:rPr>
                <w:lang w:val="en-GB"/>
              </w:rPr>
            </w:pPr>
            <w:sdt>
              <w:sdtPr>
                <w:rPr>
                  <w:lang w:val="en-GB"/>
                </w:rPr>
                <w:id w:val="1112872438"/>
                <w14:checkbox>
                  <w14:checked w14:val="0"/>
                  <w14:checkedState w14:val="2612" w14:font="MS Gothic"/>
                  <w14:uncheckedState w14:val="2610" w14:font="MS Gothic"/>
                </w14:checkbox>
              </w:sdtPr>
              <w:sdtEndPr/>
              <w:sdtContent>
                <w:r w:rsidR="001F3629" w:rsidRPr="00E76FB4">
                  <w:rPr>
                    <w:rFonts w:ascii="MS Gothic" w:eastAsia="MS Gothic" w:hAnsi="MS Gothic"/>
                    <w:lang w:val="en-GB"/>
                  </w:rPr>
                  <w:t>☐</w:t>
                </w:r>
              </w:sdtContent>
            </w:sdt>
            <w:r w:rsidR="001F3629" w:rsidRPr="00E76FB4">
              <w:rPr>
                <w:lang w:val="en-GB"/>
              </w:rPr>
              <w:t xml:space="preserve"> </w:t>
            </w:r>
            <w:r w:rsidR="0049294F">
              <w:t>som centrálnou bankou</w:t>
            </w:r>
            <w:r w:rsidR="0049294F" w:rsidRPr="00E76FB4">
              <w:rPr>
                <w:lang w:val="en-GB"/>
              </w:rPr>
              <w:t xml:space="preserve"> </w:t>
            </w:r>
            <w:r w:rsidR="0049294F" w:rsidRPr="0049294F">
              <w:rPr>
                <w:i/>
                <w:sz w:val="20"/>
                <w:szCs w:val="20"/>
                <w:lang w:val="en-GB"/>
              </w:rPr>
              <w:t>(</w:t>
            </w:r>
            <w:r w:rsidR="00E76FB4" w:rsidRPr="0049294F">
              <w:rPr>
                <w:i/>
                <w:sz w:val="20"/>
                <w:szCs w:val="20"/>
                <w:lang w:val="en-GB"/>
              </w:rPr>
              <w:t>Central Bank</w:t>
            </w:r>
            <w:r w:rsidR="0049294F" w:rsidRPr="0049294F">
              <w:rPr>
                <w:i/>
                <w:sz w:val="20"/>
                <w:szCs w:val="20"/>
                <w:lang w:val="en-GB"/>
              </w:rPr>
              <w:t>)</w:t>
            </w:r>
          </w:p>
          <w:p w:rsidR="001F3629" w:rsidRPr="00E76FB4" w:rsidRDefault="00B83296" w:rsidP="003522DC">
            <w:pPr>
              <w:tabs>
                <w:tab w:val="left" w:pos="1350"/>
              </w:tabs>
              <w:ind w:firstLine="0"/>
              <w:rPr>
                <w:lang w:val="en-GB"/>
              </w:rPr>
            </w:pPr>
            <w:sdt>
              <w:sdtPr>
                <w:rPr>
                  <w:lang w:val="en-GB"/>
                </w:rPr>
                <w:id w:val="-1167238963"/>
                <w14:checkbox>
                  <w14:checked w14:val="0"/>
                  <w14:checkedState w14:val="2612" w14:font="MS Gothic"/>
                  <w14:uncheckedState w14:val="2610" w14:font="MS Gothic"/>
                </w14:checkbox>
              </w:sdtPr>
              <w:sdtEndPr/>
              <w:sdtContent>
                <w:r w:rsidR="001F3629" w:rsidRPr="00E76FB4">
                  <w:rPr>
                    <w:rFonts w:ascii="MS Gothic" w:eastAsia="MS Gothic" w:hAnsi="MS Gothic"/>
                    <w:lang w:val="en-GB"/>
                  </w:rPr>
                  <w:t>☐</w:t>
                </w:r>
              </w:sdtContent>
            </w:sdt>
            <w:r w:rsidR="001F3629" w:rsidRPr="00E76FB4">
              <w:rPr>
                <w:lang w:val="en-GB"/>
              </w:rPr>
              <w:t xml:space="preserve"> </w:t>
            </w:r>
            <w:r w:rsidR="0049294F">
              <w:t>som finančnou inštitúciou</w:t>
            </w:r>
            <w:r w:rsidR="0049294F" w:rsidRPr="00E76FB4">
              <w:rPr>
                <w:lang w:val="en-GB"/>
              </w:rPr>
              <w:t xml:space="preserve"> </w:t>
            </w:r>
            <w:r w:rsidR="0049294F" w:rsidRPr="0049294F">
              <w:rPr>
                <w:i/>
                <w:sz w:val="20"/>
                <w:szCs w:val="20"/>
                <w:lang w:val="en-GB"/>
              </w:rPr>
              <w:t>(</w:t>
            </w:r>
            <w:r w:rsidR="00E76FB4" w:rsidRPr="0049294F">
              <w:rPr>
                <w:i/>
                <w:sz w:val="20"/>
                <w:szCs w:val="20"/>
                <w:lang w:val="en-GB"/>
              </w:rPr>
              <w:t>Financial Institution</w:t>
            </w:r>
            <w:r w:rsidR="0049294F" w:rsidRPr="0049294F">
              <w:rPr>
                <w:i/>
                <w:sz w:val="20"/>
                <w:szCs w:val="20"/>
                <w:lang w:val="en-GB"/>
              </w:rPr>
              <w:t>)</w:t>
            </w:r>
            <w:r w:rsidR="001F3629" w:rsidRPr="00E76FB4">
              <w:rPr>
                <w:rStyle w:val="Odkaznavysvetlivku"/>
                <w:lang w:val="en-GB"/>
              </w:rPr>
              <w:endnoteReference w:id="21"/>
            </w:r>
          </w:p>
          <w:p w:rsidR="001F3629" w:rsidRPr="00095E74" w:rsidRDefault="00B83296" w:rsidP="0049294F">
            <w:pPr>
              <w:tabs>
                <w:tab w:val="left" w:pos="1350"/>
              </w:tabs>
              <w:ind w:left="279" w:hanging="279"/>
            </w:pPr>
            <w:sdt>
              <w:sdtPr>
                <w:id w:val="-366759777"/>
                <w14:checkbox>
                  <w14:checked w14:val="0"/>
                  <w14:checkedState w14:val="2612" w14:font="MS Gothic"/>
                  <w14:uncheckedState w14:val="2610" w14:font="MS Gothic"/>
                </w14:checkbox>
              </w:sdtPr>
              <w:sdtEndPr/>
              <w:sdtContent>
                <w:r w:rsidR="00E76FB4">
                  <w:rPr>
                    <w:rFonts w:ascii="MS Gothic" w:eastAsia="MS Gothic" w:hAnsi="MS Gothic" w:hint="eastAsia"/>
                  </w:rPr>
                  <w:t>☐</w:t>
                </w:r>
              </w:sdtContent>
            </w:sdt>
            <w:r w:rsidR="001F3629">
              <w:t xml:space="preserve"> </w:t>
            </w:r>
            <w:r w:rsidR="0049294F">
              <w:t xml:space="preserve">nie som žiadnym z uvedených subjektov – pokračujte ďalšou otázkou </w:t>
            </w:r>
            <w:r w:rsidR="0049294F" w:rsidRPr="0049294F">
              <w:rPr>
                <w:i/>
                <w:sz w:val="20"/>
                <w:szCs w:val="20"/>
                <w:lang w:val="en-GB"/>
              </w:rPr>
              <w:t>(</w:t>
            </w:r>
            <w:r w:rsidR="00E76FB4" w:rsidRPr="0049294F">
              <w:rPr>
                <w:i/>
                <w:sz w:val="20"/>
                <w:szCs w:val="20"/>
                <w:lang w:val="en-GB"/>
              </w:rPr>
              <w:t>I am not any of stated entities – follow to next question</w:t>
            </w:r>
            <w:r w:rsidR="0049294F" w:rsidRPr="0049294F">
              <w:rPr>
                <w:i/>
                <w:sz w:val="20"/>
                <w:szCs w:val="20"/>
                <w:lang w:val="en-GB"/>
              </w:rPr>
              <w:t>)</w:t>
            </w:r>
          </w:p>
        </w:tc>
      </w:tr>
      <w:tr w:rsidR="001F3629" w:rsidTr="00166F63">
        <w:trPr>
          <w:trHeight w:val="340"/>
        </w:trPr>
        <w:tc>
          <w:tcPr>
            <w:tcW w:w="3549" w:type="dxa"/>
            <w:shd w:val="clear" w:color="auto" w:fill="D8E6DF" w:themeFill="accent1" w:themeFillTint="33"/>
          </w:tcPr>
          <w:p w:rsidR="0049294F" w:rsidRDefault="0049294F" w:rsidP="00605B1C">
            <w:pPr>
              <w:ind w:firstLine="0"/>
              <w:rPr>
                <w:szCs w:val="24"/>
              </w:rPr>
            </w:pPr>
            <w:r>
              <w:rPr>
                <w:szCs w:val="24"/>
              </w:rPr>
              <w:lastRenderedPageBreak/>
              <w:t>Ktorým z uvedených subjektov  ste v zmysle zákona č. 359/2015 Z. z.?</w:t>
            </w:r>
          </w:p>
          <w:p w:rsidR="001F3629" w:rsidRPr="00207A52" w:rsidRDefault="0049294F" w:rsidP="00605B1C">
            <w:pPr>
              <w:ind w:firstLine="0"/>
              <w:rPr>
                <w:szCs w:val="24"/>
              </w:rPr>
            </w:pPr>
            <w:r>
              <w:rPr>
                <w:i/>
                <w:sz w:val="20"/>
                <w:szCs w:val="20"/>
                <w:lang w:val="en-GB"/>
              </w:rPr>
              <w:t>(</w:t>
            </w:r>
            <w:r w:rsidR="00E76FB4" w:rsidRPr="0049294F">
              <w:rPr>
                <w:i/>
                <w:sz w:val="20"/>
                <w:szCs w:val="20"/>
                <w:lang w:val="en-GB"/>
              </w:rPr>
              <w:t>Which of mentioned entities are you, according to act 359/2015 Coll.?</w:t>
            </w:r>
            <w:r w:rsidRPr="0049294F">
              <w:rPr>
                <w:i/>
                <w:sz w:val="20"/>
                <w:szCs w:val="20"/>
                <w:lang w:val="en-GB"/>
              </w:rPr>
              <w:t>)</w:t>
            </w:r>
          </w:p>
        </w:tc>
        <w:tc>
          <w:tcPr>
            <w:tcW w:w="6305" w:type="dxa"/>
            <w:shd w:val="clear" w:color="auto" w:fill="auto"/>
          </w:tcPr>
          <w:p w:rsidR="0049294F" w:rsidRDefault="00B83296" w:rsidP="003522DC">
            <w:pPr>
              <w:tabs>
                <w:tab w:val="left" w:pos="1100"/>
              </w:tabs>
              <w:ind w:firstLine="0"/>
              <w:rPr>
                <w:lang w:val="en-GB"/>
              </w:rPr>
            </w:pPr>
            <w:sdt>
              <w:sdtPr>
                <w:id w:val="7106321"/>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w:t>
            </w:r>
            <w:r w:rsidR="0049294F">
              <w:t>som aktívnym nefinančným subjektom</w:t>
            </w:r>
            <w:r w:rsidR="0049294F" w:rsidRPr="004A2A58">
              <w:rPr>
                <w:lang w:val="en-GB"/>
              </w:rPr>
              <w:t xml:space="preserve"> </w:t>
            </w:r>
          </w:p>
          <w:p w:rsidR="001F3629" w:rsidRDefault="0049294F" w:rsidP="0049294F">
            <w:pPr>
              <w:tabs>
                <w:tab w:val="left" w:pos="1100"/>
              </w:tabs>
              <w:ind w:left="279" w:firstLine="0"/>
            </w:pPr>
            <w:r w:rsidRPr="0049294F">
              <w:rPr>
                <w:i/>
                <w:sz w:val="20"/>
                <w:szCs w:val="20"/>
                <w:lang w:val="en-GB"/>
              </w:rPr>
              <w:t>(</w:t>
            </w:r>
            <w:r w:rsidR="004A2A58" w:rsidRPr="0049294F">
              <w:rPr>
                <w:i/>
                <w:sz w:val="20"/>
                <w:szCs w:val="20"/>
                <w:lang w:val="en-GB"/>
              </w:rPr>
              <w:t>active non-financial entity</w:t>
            </w:r>
            <w:r w:rsidRPr="0049294F">
              <w:rPr>
                <w:i/>
                <w:sz w:val="20"/>
                <w:szCs w:val="20"/>
                <w:lang w:val="en-GB"/>
              </w:rPr>
              <w:t>)</w:t>
            </w:r>
            <w:r w:rsidR="001F3629">
              <w:rPr>
                <w:rStyle w:val="Odkaznavysvetlivku"/>
              </w:rPr>
              <w:endnoteReference w:id="22"/>
            </w:r>
          </w:p>
          <w:p w:rsidR="001F3629" w:rsidRPr="00095E74" w:rsidRDefault="00B83296" w:rsidP="00860DD2">
            <w:pPr>
              <w:tabs>
                <w:tab w:val="left" w:pos="1580"/>
              </w:tabs>
              <w:ind w:left="279" w:hanging="279"/>
            </w:pPr>
            <w:sdt>
              <w:sdtPr>
                <w:id w:val="760420788"/>
                <w14:checkbox>
                  <w14:checked w14:val="0"/>
                  <w14:checkedState w14:val="2612" w14:font="MS Gothic"/>
                  <w14:uncheckedState w14:val="2610" w14:font="MS Gothic"/>
                </w14:checkbox>
              </w:sdtPr>
              <w:sdtEndPr/>
              <w:sdtContent>
                <w:r w:rsidR="001F3629">
                  <w:rPr>
                    <w:rFonts w:ascii="MS Gothic" w:eastAsia="MS Gothic" w:hAnsi="MS Gothic" w:hint="eastAsia"/>
                  </w:rPr>
                  <w:t>☐</w:t>
                </w:r>
              </w:sdtContent>
            </w:sdt>
            <w:r w:rsidR="001F3629">
              <w:t xml:space="preserve"> </w:t>
            </w:r>
            <w:r w:rsidR="0049294F">
              <w:t>som pasívnym nefinančným subjektom – predložte</w:t>
            </w:r>
            <w:r w:rsidR="0049294F" w:rsidRPr="00BC4447">
              <w:t xml:space="preserve"> zoznam ovládajúcich osôb </w:t>
            </w:r>
            <w:r w:rsidR="0049294F" w:rsidRPr="0049294F">
              <w:rPr>
                <w:i/>
                <w:sz w:val="20"/>
                <w:szCs w:val="20"/>
              </w:rPr>
              <w:t>(</w:t>
            </w:r>
            <w:r w:rsidR="004A2A58" w:rsidRPr="0049294F">
              <w:rPr>
                <w:i/>
                <w:sz w:val="20"/>
                <w:szCs w:val="20"/>
                <w:lang w:val="en-GB"/>
              </w:rPr>
              <w:t>passive non-financial entity</w:t>
            </w:r>
            <w:r w:rsidR="001F3629" w:rsidRPr="0049294F">
              <w:rPr>
                <w:rStyle w:val="Odkaznavysvetlivku"/>
                <w:i/>
                <w:sz w:val="20"/>
                <w:szCs w:val="20"/>
                <w:lang w:val="en-GB"/>
              </w:rPr>
              <w:endnoteReference w:id="23"/>
            </w:r>
            <w:r w:rsidR="001F3629" w:rsidRPr="0049294F">
              <w:rPr>
                <w:i/>
                <w:sz w:val="20"/>
                <w:szCs w:val="20"/>
                <w:lang w:val="en-GB"/>
              </w:rPr>
              <w:t xml:space="preserve"> –</w:t>
            </w:r>
            <w:r w:rsidR="004A2A58" w:rsidRPr="0049294F">
              <w:rPr>
                <w:i/>
                <w:sz w:val="20"/>
                <w:szCs w:val="20"/>
                <w:lang w:val="en-GB"/>
              </w:rPr>
              <w:t xml:space="preserve"> </w:t>
            </w:r>
            <w:r w:rsidR="004A2A58" w:rsidRPr="00860DD2">
              <w:rPr>
                <w:b/>
                <w:i/>
                <w:sz w:val="20"/>
                <w:szCs w:val="20"/>
                <w:lang w:val="en-GB"/>
              </w:rPr>
              <w:t>submit list of controlling persons</w:t>
            </w:r>
            <w:r w:rsidR="001F3629" w:rsidRPr="00ED0579">
              <w:rPr>
                <w:rStyle w:val="Odkaznavysvetlivku"/>
                <w:lang w:val="en-GB"/>
              </w:rPr>
              <w:endnoteReference w:id="24"/>
            </w:r>
            <w:r w:rsidR="0049294F" w:rsidRPr="0049294F">
              <w:rPr>
                <w:i/>
                <w:sz w:val="20"/>
                <w:szCs w:val="20"/>
                <w:lang w:val="en-GB"/>
              </w:rPr>
              <w:t>)</w:t>
            </w:r>
          </w:p>
        </w:tc>
      </w:tr>
    </w:tbl>
    <w:p w:rsidR="001F3629" w:rsidRDefault="001F3629" w:rsidP="00207A52"/>
    <w:p w:rsidR="00954262" w:rsidRPr="007F52FC" w:rsidRDefault="00166F63" w:rsidP="0007586A">
      <w:pPr>
        <w:pStyle w:val="Nadpis1"/>
        <w:numPr>
          <w:ilvl w:val="0"/>
          <w:numId w:val="14"/>
        </w:numPr>
        <w:spacing w:before="0"/>
        <w:ind w:left="284" w:hanging="284"/>
        <w:rPr>
          <w:sz w:val="26"/>
          <w:szCs w:val="26"/>
        </w:rPr>
      </w:pPr>
      <w:r>
        <w:rPr>
          <w:szCs w:val="26"/>
        </w:rPr>
        <w:t xml:space="preserve">ADDITIONAL DATA </w:t>
      </w:r>
      <w:r w:rsidRPr="00166F63">
        <w:rPr>
          <w:i/>
          <w:sz w:val="20"/>
          <w:szCs w:val="26"/>
        </w:rPr>
        <w:t>(</w:t>
      </w:r>
      <w:r w:rsidR="00B9386E" w:rsidRPr="00166F63">
        <w:rPr>
          <w:i/>
          <w:sz w:val="20"/>
          <w:szCs w:val="26"/>
        </w:rPr>
        <w:t>DOPLŇUJÚCE ÚDAJE</w:t>
      </w:r>
      <w:r w:rsidRPr="00166F63">
        <w:rPr>
          <w:i/>
          <w:sz w:val="20"/>
          <w:szCs w:val="26"/>
        </w:rPr>
        <w:t>)</w:t>
      </w:r>
    </w:p>
    <w:p w:rsidR="00954262" w:rsidRDefault="00954262"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4927"/>
        <w:gridCol w:w="4927"/>
      </w:tblGrid>
      <w:tr w:rsidR="00EF6064" w:rsidTr="00DC6F8B">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E236B" w:rsidRPr="00AE236B" w:rsidRDefault="00AE236B" w:rsidP="00605B1C">
            <w:pPr>
              <w:pStyle w:val="Odsekzoznamu"/>
              <w:numPr>
                <w:ilvl w:val="0"/>
                <w:numId w:val="17"/>
              </w:numPr>
              <w:ind w:left="426" w:hanging="426"/>
            </w:pPr>
            <w:r>
              <w:rPr>
                <w:b/>
              </w:rPr>
              <w:t>Klient týmto žiada aj o službu REDA.019 – Výpis údajov o účte</w:t>
            </w:r>
            <w:r w:rsidRPr="00166F63">
              <w:rPr>
                <w:b/>
                <w:lang w:val="en-GB"/>
              </w:rPr>
              <w:t xml:space="preserve"> </w:t>
            </w:r>
          </w:p>
          <w:p w:rsidR="00EF6064" w:rsidRDefault="00AE236B" w:rsidP="00AE236B">
            <w:pPr>
              <w:pStyle w:val="Odsekzoznamu"/>
              <w:ind w:left="426" w:firstLine="0"/>
            </w:pPr>
            <w:r w:rsidRPr="00AE236B">
              <w:rPr>
                <w:b/>
                <w:i/>
                <w:sz w:val="20"/>
                <w:szCs w:val="20"/>
                <w:lang w:val="en-GB"/>
              </w:rPr>
              <w:t>(</w:t>
            </w:r>
            <w:r w:rsidR="00166F63" w:rsidRPr="00AE236B">
              <w:rPr>
                <w:b/>
                <w:i/>
                <w:sz w:val="20"/>
                <w:szCs w:val="20"/>
                <w:lang w:val="en-GB"/>
              </w:rPr>
              <w:t>The client also asks for service REDA.019 – Securities account report</w:t>
            </w:r>
            <w:r w:rsidRPr="00AE236B">
              <w:rPr>
                <w:b/>
                <w:i/>
                <w:sz w:val="20"/>
                <w:szCs w:val="20"/>
                <w:lang w:val="en-GB"/>
              </w:rPr>
              <w:t>)</w:t>
            </w:r>
            <w:r w:rsidR="00EF6064" w:rsidRPr="00166F63">
              <w:rPr>
                <w:rStyle w:val="Odkaznavysvetlivku"/>
                <w:b/>
                <w:lang w:val="en-GB"/>
              </w:rPr>
              <w:endnoteReference w:id="25"/>
            </w:r>
          </w:p>
        </w:tc>
      </w:tr>
      <w:tr w:rsidR="00EF6064" w:rsidRPr="00095E74" w:rsidTr="00DC6F8B">
        <w:trPr>
          <w:trHeight w:val="340"/>
        </w:trPr>
        <w:tc>
          <w:tcPr>
            <w:tcW w:w="4927" w:type="dxa"/>
            <w:tcBorders>
              <w:top w:val="single" w:sz="12" w:space="0" w:color="4C7563" w:themeColor="accent1"/>
            </w:tcBorders>
            <w:shd w:val="clear" w:color="auto" w:fill="FFFFFF" w:themeFill="background1"/>
          </w:tcPr>
          <w:p w:rsidR="00EF6064" w:rsidRPr="00166F63" w:rsidRDefault="00B83296" w:rsidP="00AE236B">
            <w:pPr>
              <w:ind w:firstLine="0"/>
              <w:rPr>
                <w:lang w:val="en-GB"/>
              </w:rPr>
            </w:pPr>
            <w:sdt>
              <w:sdtPr>
                <w:rPr>
                  <w:szCs w:val="24"/>
                  <w:lang w:val="en-GB"/>
                </w:rPr>
                <w:id w:val="-1317107605"/>
                <w14:checkbox>
                  <w14:checked w14:val="0"/>
                  <w14:checkedState w14:val="2612" w14:font="MS Gothic"/>
                  <w14:uncheckedState w14:val="2610" w14:font="MS Gothic"/>
                </w14:checkbox>
              </w:sdtPr>
              <w:sdtEndPr/>
              <w:sdtContent>
                <w:r w:rsidR="00EF6064" w:rsidRPr="00166F63">
                  <w:rPr>
                    <w:rFonts w:ascii="MS Gothic" w:eastAsia="MS Gothic" w:hAnsi="MS Gothic"/>
                    <w:szCs w:val="24"/>
                    <w:lang w:val="en-GB"/>
                  </w:rPr>
                  <w:t>☐</w:t>
                </w:r>
              </w:sdtContent>
            </w:sdt>
            <w:r w:rsidR="00EF6064" w:rsidRPr="00166F63">
              <w:rPr>
                <w:szCs w:val="24"/>
                <w:lang w:val="en-GB"/>
              </w:rPr>
              <w:t xml:space="preserve"> </w:t>
            </w:r>
            <w:r w:rsidR="00AE236B">
              <w:rPr>
                <w:szCs w:val="24"/>
                <w:lang w:val="en-GB"/>
              </w:rPr>
              <w:t xml:space="preserve">ÁNI </w:t>
            </w:r>
            <w:r w:rsidR="00AE236B" w:rsidRPr="00AE236B">
              <w:rPr>
                <w:i/>
                <w:sz w:val="20"/>
                <w:szCs w:val="20"/>
                <w:lang w:val="en-GB"/>
              </w:rPr>
              <w:t>(YES)</w:t>
            </w:r>
          </w:p>
        </w:tc>
        <w:tc>
          <w:tcPr>
            <w:tcW w:w="4927" w:type="dxa"/>
            <w:tcBorders>
              <w:top w:val="single" w:sz="12" w:space="0" w:color="4C7563" w:themeColor="accent1"/>
            </w:tcBorders>
            <w:shd w:val="clear" w:color="auto" w:fill="FFFFFF" w:themeFill="background1"/>
          </w:tcPr>
          <w:p w:rsidR="00EF6064" w:rsidRPr="00FE72BA" w:rsidRDefault="00B83296" w:rsidP="00166F63">
            <w:pPr>
              <w:ind w:firstLine="0"/>
              <w:rPr>
                <w:szCs w:val="24"/>
              </w:rPr>
            </w:pPr>
            <w:sdt>
              <w:sdtPr>
                <w:rPr>
                  <w:szCs w:val="24"/>
                </w:rPr>
                <w:id w:val="-1396273675"/>
                <w14:checkbox>
                  <w14:checked w14:val="0"/>
                  <w14:checkedState w14:val="2612" w14:font="MS Gothic"/>
                  <w14:uncheckedState w14:val="2610" w14:font="MS Gothic"/>
                </w14:checkbox>
              </w:sdtPr>
              <w:sdtEndPr/>
              <w:sdtContent>
                <w:r w:rsidR="00EF6064">
                  <w:rPr>
                    <w:rFonts w:ascii="MS Gothic" w:eastAsia="MS Gothic" w:hAnsi="MS Gothic" w:hint="eastAsia"/>
                    <w:szCs w:val="24"/>
                  </w:rPr>
                  <w:t>☐</w:t>
                </w:r>
              </w:sdtContent>
            </w:sdt>
            <w:r w:rsidR="00EF6064">
              <w:rPr>
                <w:szCs w:val="24"/>
              </w:rPr>
              <w:t xml:space="preserve"> </w:t>
            </w:r>
            <w:r w:rsidR="00AE236B">
              <w:rPr>
                <w:szCs w:val="24"/>
              </w:rPr>
              <w:t xml:space="preserve">NIE </w:t>
            </w:r>
            <w:r w:rsidR="00AE236B" w:rsidRPr="00AE236B">
              <w:rPr>
                <w:i/>
                <w:sz w:val="20"/>
                <w:szCs w:val="20"/>
              </w:rPr>
              <w:t>(NO)</w:t>
            </w:r>
          </w:p>
        </w:tc>
      </w:tr>
    </w:tbl>
    <w:p w:rsidR="00EE5550" w:rsidRDefault="00EE5550"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AE236B" w:rsidTr="00AE236B">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AE236B" w:rsidRDefault="00BD185E" w:rsidP="00AE236B">
            <w:pPr>
              <w:pStyle w:val="Odsekzoznamu"/>
              <w:numPr>
                <w:ilvl w:val="0"/>
                <w:numId w:val="17"/>
              </w:numPr>
              <w:ind w:left="426" w:hanging="426"/>
            </w:pPr>
            <w:r>
              <w:rPr>
                <w:b/>
              </w:rPr>
              <w:t>Spôsob prevzatia výstupu služby</w:t>
            </w:r>
            <w:r w:rsidRPr="002B2628">
              <w:rPr>
                <w:b/>
                <w:lang w:val="en-GB"/>
              </w:rPr>
              <w:t xml:space="preserve"> </w:t>
            </w:r>
            <w:r w:rsidRPr="006D33F9">
              <w:rPr>
                <w:b/>
                <w:i/>
                <w:sz w:val="20"/>
                <w:szCs w:val="20"/>
                <w:lang w:val="en-GB"/>
              </w:rPr>
              <w:t>(Method of collection of service output)</w:t>
            </w:r>
          </w:p>
        </w:tc>
      </w:tr>
      <w:tr w:rsidR="00AE236B" w:rsidRPr="00095E74" w:rsidTr="00AE236B">
        <w:trPr>
          <w:trHeight w:val="340"/>
        </w:trPr>
        <w:tc>
          <w:tcPr>
            <w:tcW w:w="3549" w:type="dxa"/>
            <w:tcBorders>
              <w:top w:val="single" w:sz="12" w:space="0" w:color="4C7563" w:themeColor="accent1"/>
            </w:tcBorders>
            <w:shd w:val="clear" w:color="auto" w:fill="D8E6DF" w:themeFill="accent1" w:themeFillTint="33"/>
          </w:tcPr>
          <w:p w:rsidR="005A3354" w:rsidRDefault="00AE236B" w:rsidP="00AE236B">
            <w:pPr>
              <w:ind w:firstLine="0"/>
              <w:rPr>
                <w:szCs w:val="24"/>
              </w:rPr>
            </w:pPr>
            <w:r>
              <w:rPr>
                <w:szCs w:val="24"/>
              </w:rPr>
              <w:t xml:space="preserve">V prípade osobného doručenia žiadosti na prevádzkové pracovisko CDCP </w:t>
            </w:r>
          </w:p>
          <w:p w:rsidR="00AE236B" w:rsidRDefault="00AE236B" w:rsidP="007108C5">
            <w:pPr>
              <w:ind w:firstLine="0"/>
              <w:rPr>
                <w:szCs w:val="24"/>
              </w:rPr>
            </w:pPr>
            <w:r w:rsidRPr="00AE236B">
              <w:rPr>
                <w:i/>
                <w:sz w:val="20"/>
                <w:szCs w:val="20"/>
              </w:rPr>
              <w:t>(</w:t>
            </w:r>
            <w:r w:rsidRPr="00AE236B">
              <w:rPr>
                <w:i/>
                <w:sz w:val="20"/>
                <w:szCs w:val="20"/>
                <w:lang w:val="en"/>
              </w:rPr>
              <w:t xml:space="preserve">In the case of personal delivery of the </w:t>
            </w:r>
            <w:r w:rsidR="007108C5">
              <w:rPr>
                <w:i/>
                <w:sz w:val="20"/>
                <w:szCs w:val="20"/>
                <w:lang w:val="en"/>
              </w:rPr>
              <w:t>request</w:t>
            </w:r>
            <w:r w:rsidRPr="00AE236B">
              <w:rPr>
                <w:i/>
                <w:sz w:val="20"/>
                <w:szCs w:val="20"/>
                <w:lang w:val="en"/>
              </w:rPr>
              <w:t xml:space="preserve"> to the CDCP operating site)</w:t>
            </w:r>
            <w:r>
              <w:rPr>
                <w:lang w:val="en"/>
              </w:rPr>
              <w:t>:</w:t>
            </w:r>
          </w:p>
        </w:tc>
        <w:tc>
          <w:tcPr>
            <w:tcW w:w="6305" w:type="dxa"/>
            <w:tcBorders>
              <w:top w:val="single" w:sz="12" w:space="0" w:color="4C7563" w:themeColor="accent1"/>
            </w:tcBorders>
          </w:tcPr>
          <w:p w:rsidR="00AE236B" w:rsidRDefault="00AE236B" w:rsidP="00AE236B">
            <w:pPr>
              <w:tabs>
                <w:tab w:val="left" w:pos="1710"/>
              </w:tabs>
              <w:ind w:firstLine="0"/>
            </w:pPr>
            <w:r>
              <w:t>CDCP na počkanie požadovanú službu spracuje a výstup služby odovzdá klientovi osobne.</w:t>
            </w:r>
          </w:p>
          <w:p w:rsidR="00AE236B" w:rsidRPr="00AE236B" w:rsidRDefault="00AE236B" w:rsidP="005A3354">
            <w:pPr>
              <w:tabs>
                <w:tab w:val="left" w:pos="1710"/>
              </w:tabs>
              <w:ind w:firstLine="0"/>
              <w:rPr>
                <w:i/>
                <w:sz w:val="20"/>
                <w:szCs w:val="20"/>
              </w:rPr>
            </w:pPr>
            <w:r w:rsidRPr="00AE236B">
              <w:rPr>
                <w:i/>
                <w:sz w:val="20"/>
                <w:szCs w:val="20"/>
              </w:rPr>
              <w:t>(</w:t>
            </w:r>
            <w:r w:rsidRPr="00AE236B">
              <w:rPr>
                <w:i/>
                <w:sz w:val="20"/>
                <w:szCs w:val="20"/>
                <w:lang w:val="en"/>
              </w:rPr>
              <w:t xml:space="preserve">CDCP </w:t>
            </w:r>
            <w:r>
              <w:rPr>
                <w:i/>
                <w:sz w:val="20"/>
                <w:szCs w:val="20"/>
                <w:lang w:val="en"/>
              </w:rPr>
              <w:t>will pocess</w:t>
            </w:r>
            <w:r w:rsidRPr="00AE236B">
              <w:rPr>
                <w:i/>
                <w:sz w:val="20"/>
                <w:szCs w:val="20"/>
                <w:lang w:val="en"/>
              </w:rPr>
              <w:t xml:space="preserve"> the requested service and </w:t>
            </w:r>
            <w:r>
              <w:rPr>
                <w:i/>
                <w:sz w:val="20"/>
                <w:szCs w:val="20"/>
                <w:lang w:val="en"/>
              </w:rPr>
              <w:t>hand</w:t>
            </w:r>
            <w:r w:rsidRPr="00AE236B">
              <w:rPr>
                <w:i/>
                <w:sz w:val="20"/>
                <w:szCs w:val="20"/>
                <w:lang w:val="en"/>
              </w:rPr>
              <w:t xml:space="preserve"> the service output </w:t>
            </w:r>
            <w:r w:rsidR="005A3354">
              <w:rPr>
                <w:i/>
                <w:sz w:val="20"/>
                <w:szCs w:val="20"/>
                <w:lang w:val="en"/>
              </w:rPr>
              <w:t>over to</w:t>
            </w:r>
            <w:r w:rsidRPr="00AE236B">
              <w:rPr>
                <w:i/>
                <w:sz w:val="20"/>
                <w:szCs w:val="20"/>
                <w:lang w:val="en"/>
              </w:rPr>
              <w:t xml:space="preserve"> the client in person.)</w:t>
            </w:r>
          </w:p>
        </w:tc>
      </w:tr>
      <w:tr w:rsidR="00AE236B" w:rsidRPr="00095E74" w:rsidTr="00AE236B">
        <w:trPr>
          <w:trHeight w:val="340"/>
        </w:trPr>
        <w:tc>
          <w:tcPr>
            <w:tcW w:w="3549" w:type="dxa"/>
            <w:tcBorders>
              <w:top w:val="single" w:sz="12" w:space="0" w:color="4C7563" w:themeColor="accent1"/>
            </w:tcBorders>
            <w:shd w:val="clear" w:color="auto" w:fill="D8E6DF" w:themeFill="accent1" w:themeFillTint="33"/>
          </w:tcPr>
          <w:p w:rsidR="00AE236B" w:rsidRDefault="00AE236B" w:rsidP="00AE236B">
            <w:pPr>
              <w:ind w:firstLine="0"/>
              <w:rPr>
                <w:szCs w:val="24"/>
              </w:rPr>
            </w:pPr>
            <w:r>
              <w:rPr>
                <w:szCs w:val="24"/>
              </w:rPr>
              <w:t>V prípade doručenia žiadosti poštou alebo osobne do podateľne CDCP</w:t>
            </w:r>
          </w:p>
          <w:p w:rsidR="005A3354" w:rsidRDefault="005A3354" w:rsidP="007108C5">
            <w:pPr>
              <w:ind w:firstLine="0"/>
              <w:rPr>
                <w:szCs w:val="24"/>
              </w:rPr>
            </w:pPr>
            <w:r w:rsidRPr="005A3354">
              <w:rPr>
                <w:i/>
                <w:sz w:val="20"/>
                <w:szCs w:val="20"/>
                <w:lang w:val="en"/>
              </w:rPr>
              <w:t xml:space="preserve">(In the case of delivery of </w:t>
            </w:r>
            <w:r>
              <w:rPr>
                <w:i/>
                <w:sz w:val="20"/>
                <w:szCs w:val="20"/>
                <w:lang w:val="en"/>
              </w:rPr>
              <w:t xml:space="preserve">the </w:t>
            </w:r>
            <w:r w:rsidR="007108C5">
              <w:rPr>
                <w:i/>
                <w:sz w:val="20"/>
                <w:szCs w:val="20"/>
                <w:lang w:val="en"/>
              </w:rPr>
              <w:t>request</w:t>
            </w:r>
            <w:r w:rsidRPr="005A3354">
              <w:rPr>
                <w:i/>
                <w:sz w:val="20"/>
                <w:szCs w:val="20"/>
                <w:lang w:val="en"/>
              </w:rPr>
              <w:t xml:space="preserve"> by </w:t>
            </w:r>
            <w:r>
              <w:rPr>
                <w:i/>
                <w:sz w:val="20"/>
                <w:szCs w:val="20"/>
                <w:lang w:val="en"/>
              </w:rPr>
              <w:t>post</w:t>
            </w:r>
            <w:r w:rsidRPr="005A3354">
              <w:rPr>
                <w:i/>
                <w:sz w:val="20"/>
                <w:szCs w:val="20"/>
                <w:lang w:val="en"/>
              </w:rPr>
              <w:t xml:space="preserve"> or in person to the </w:t>
            </w:r>
            <w:r>
              <w:rPr>
                <w:i/>
                <w:sz w:val="20"/>
                <w:szCs w:val="20"/>
                <w:lang w:val="en"/>
              </w:rPr>
              <w:t xml:space="preserve">filling office of the </w:t>
            </w:r>
            <w:r w:rsidRPr="005A3354">
              <w:rPr>
                <w:i/>
                <w:sz w:val="20"/>
                <w:szCs w:val="20"/>
                <w:lang w:val="en"/>
              </w:rPr>
              <w:t>CDCP)</w:t>
            </w:r>
          </w:p>
        </w:tc>
        <w:tc>
          <w:tcPr>
            <w:tcW w:w="6305" w:type="dxa"/>
            <w:tcBorders>
              <w:top w:val="single" w:sz="12" w:space="0" w:color="4C7563" w:themeColor="accent1"/>
            </w:tcBorders>
          </w:tcPr>
          <w:p w:rsidR="00AE236B" w:rsidRDefault="00AE236B" w:rsidP="00AE236B">
            <w:pPr>
              <w:ind w:firstLine="0"/>
            </w:pPr>
            <w:r>
              <w:t>CDCP požadovanú službu spracuje a výstup služby odošle klientovi poštou.</w:t>
            </w:r>
          </w:p>
          <w:p w:rsidR="005A3354" w:rsidRPr="00095E74" w:rsidRDefault="005A3354" w:rsidP="005A3354">
            <w:pPr>
              <w:tabs>
                <w:tab w:val="left" w:pos="1710"/>
              </w:tabs>
              <w:ind w:firstLine="0"/>
            </w:pPr>
            <w:r w:rsidRPr="005A3354">
              <w:rPr>
                <w:i/>
                <w:sz w:val="20"/>
                <w:szCs w:val="20"/>
                <w:lang w:val="en"/>
              </w:rPr>
              <w:t>(The CDCP will process the requested service and the service output will be sent to the client by post.)</w:t>
            </w:r>
          </w:p>
        </w:tc>
      </w:tr>
    </w:tbl>
    <w:p w:rsidR="00AE236B" w:rsidRDefault="00AE236B" w:rsidP="00954262"/>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3549"/>
        <w:gridCol w:w="6305"/>
      </w:tblGrid>
      <w:tr w:rsidR="00954262" w:rsidTr="00053535">
        <w:trPr>
          <w:trHeight w:val="340"/>
        </w:trPr>
        <w:tc>
          <w:tcPr>
            <w:tcW w:w="9854" w:type="dxa"/>
            <w:gridSpan w:val="2"/>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954262" w:rsidRDefault="005A3354" w:rsidP="00605B1C">
            <w:pPr>
              <w:pStyle w:val="Odsekzoznamu"/>
              <w:numPr>
                <w:ilvl w:val="0"/>
                <w:numId w:val="17"/>
              </w:numPr>
              <w:ind w:left="426" w:hanging="426"/>
            </w:pPr>
            <w:r>
              <w:rPr>
                <w:b/>
              </w:rPr>
              <w:t>Priložené doklady</w:t>
            </w:r>
            <w:r>
              <w:rPr>
                <w:b/>
                <w:lang w:val="en-GB"/>
              </w:rPr>
              <w:t xml:space="preserve"> </w:t>
            </w:r>
            <w:r w:rsidRPr="005A3354">
              <w:rPr>
                <w:b/>
                <w:i/>
                <w:sz w:val="20"/>
                <w:szCs w:val="20"/>
                <w:lang w:val="en-GB"/>
              </w:rPr>
              <w:t>(</w:t>
            </w:r>
            <w:r w:rsidR="00166F63" w:rsidRPr="005A3354">
              <w:rPr>
                <w:b/>
                <w:i/>
                <w:sz w:val="20"/>
                <w:szCs w:val="20"/>
                <w:lang w:val="en-GB"/>
              </w:rPr>
              <w:t>Attached document</w:t>
            </w:r>
            <w:r w:rsidRPr="005A3354">
              <w:rPr>
                <w:b/>
                <w:i/>
                <w:sz w:val="20"/>
                <w:szCs w:val="20"/>
                <w:lang w:val="en-GB"/>
              </w:rPr>
              <w:t>)</w:t>
            </w:r>
          </w:p>
        </w:tc>
      </w:tr>
      <w:tr w:rsidR="00954262" w:rsidTr="00053535">
        <w:trPr>
          <w:trHeight w:val="340"/>
        </w:trPr>
        <w:tc>
          <w:tcPr>
            <w:tcW w:w="3549" w:type="dxa"/>
            <w:tcBorders>
              <w:top w:val="single" w:sz="12" w:space="0" w:color="4C7563" w:themeColor="accent1"/>
            </w:tcBorders>
            <w:shd w:val="clear" w:color="auto" w:fill="D8E6DF" w:themeFill="accent1" w:themeFillTint="33"/>
          </w:tcPr>
          <w:p w:rsidR="005A3354" w:rsidRDefault="005A3354" w:rsidP="00605B1C">
            <w:pPr>
              <w:ind w:firstLine="0"/>
              <w:rPr>
                <w:szCs w:val="24"/>
                <w:lang w:val="en-GB"/>
              </w:rPr>
            </w:pPr>
            <w:r>
              <w:rPr>
                <w:szCs w:val="24"/>
              </w:rPr>
              <w:t>Počet priložených dokladov</w:t>
            </w:r>
            <w:r w:rsidRPr="00166F63">
              <w:rPr>
                <w:szCs w:val="24"/>
                <w:lang w:val="en-GB"/>
              </w:rPr>
              <w:t xml:space="preserve"> </w:t>
            </w:r>
          </w:p>
          <w:p w:rsidR="00954262" w:rsidRPr="005A3354" w:rsidRDefault="005A3354" w:rsidP="00605B1C">
            <w:pPr>
              <w:ind w:firstLine="0"/>
              <w:rPr>
                <w:i/>
                <w:sz w:val="20"/>
                <w:szCs w:val="20"/>
              </w:rPr>
            </w:pPr>
            <w:r w:rsidRPr="005A3354">
              <w:rPr>
                <w:i/>
                <w:sz w:val="20"/>
                <w:szCs w:val="20"/>
                <w:lang w:val="en-GB"/>
              </w:rPr>
              <w:t>(</w:t>
            </w:r>
            <w:r w:rsidR="00CE2E8E">
              <w:rPr>
                <w:i/>
                <w:sz w:val="20"/>
                <w:szCs w:val="20"/>
                <w:lang w:val="en-GB"/>
              </w:rPr>
              <w:t>Qty.</w:t>
            </w:r>
            <w:r w:rsidR="00CE2E8E" w:rsidRPr="005A3354">
              <w:rPr>
                <w:i/>
                <w:sz w:val="20"/>
                <w:szCs w:val="20"/>
                <w:lang w:val="en-GB"/>
              </w:rPr>
              <w:t xml:space="preserve"> of attached documents</w:t>
            </w:r>
            <w:r w:rsidR="00CE2E8E">
              <w:rPr>
                <w:i/>
                <w:sz w:val="20"/>
                <w:szCs w:val="20"/>
                <w:lang w:val="en-GB"/>
              </w:rPr>
              <w:t>)</w:t>
            </w:r>
          </w:p>
        </w:tc>
        <w:tc>
          <w:tcPr>
            <w:tcW w:w="6305" w:type="dxa"/>
            <w:tcBorders>
              <w:top w:val="single" w:sz="12" w:space="0" w:color="4C7563" w:themeColor="accent1"/>
            </w:tcBorders>
          </w:tcPr>
          <w:sdt>
            <w:sdtPr>
              <w:id w:val="-1497409346"/>
              <w:showingPlcHdr/>
            </w:sdtPr>
            <w:sdtEndPr/>
            <w:sdtContent>
              <w:p w:rsidR="00954262" w:rsidRPr="00095E74" w:rsidRDefault="00954262" w:rsidP="00053535">
                <w:pPr>
                  <w:ind w:firstLine="0"/>
                </w:pPr>
                <w:r w:rsidRPr="00907279">
                  <w:rPr>
                    <w:rStyle w:val="Textzstupnhosymbolu"/>
                    <w:color w:val="FFFFFF" w:themeColor="background1"/>
                    <w:shd w:val="pct5" w:color="auto" w:fill="auto"/>
                    <w14:textFill>
                      <w14:noFill/>
                    </w14:textFill>
                  </w:rPr>
                  <w:t>Kliknutím zadáte text.</w:t>
                </w:r>
              </w:p>
            </w:sdtContent>
          </w:sdt>
        </w:tc>
      </w:tr>
      <w:tr w:rsidR="00954262" w:rsidTr="00053535">
        <w:trPr>
          <w:trHeight w:val="340"/>
        </w:trPr>
        <w:tc>
          <w:tcPr>
            <w:tcW w:w="3549" w:type="dxa"/>
            <w:shd w:val="clear" w:color="auto" w:fill="D8E6DF" w:themeFill="accent1" w:themeFillTint="33"/>
          </w:tcPr>
          <w:p w:rsidR="00E531EE" w:rsidRPr="009C0B4D" w:rsidRDefault="00E531EE" w:rsidP="00E531EE">
            <w:pPr>
              <w:ind w:firstLine="0"/>
              <w:rPr>
                <w:szCs w:val="24"/>
              </w:rPr>
            </w:pPr>
            <w:r w:rsidRPr="009C0B4D">
              <w:rPr>
                <w:szCs w:val="24"/>
              </w:rPr>
              <w:t xml:space="preserve">Zoznam priložených dokladov </w:t>
            </w:r>
          </w:p>
          <w:p w:rsidR="005A3354" w:rsidRPr="00207A52" w:rsidRDefault="00E531EE" w:rsidP="00E531EE">
            <w:pPr>
              <w:ind w:firstLine="0"/>
              <w:rPr>
                <w:szCs w:val="24"/>
              </w:rPr>
            </w:pPr>
            <w:r>
              <w:rPr>
                <w:i/>
                <w:sz w:val="20"/>
                <w:szCs w:val="20"/>
                <w:lang w:val="en-GB"/>
              </w:rPr>
              <w:t>(</w:t>
            </w:r>
            <w:r w:rsidRPr="009C0B4D">
              <w:rPr>
                <w:i/>
                <w:sz w:val="20"/>
                <w:szCs w:val="20"/>
                <w:lang w:val="en-GB"/>
              </w:rPr>
              <w:t>List of attached documents</w:t>
            </w:r>
            <w:r>
              <w:rPr>
                <w:i/>
                <w:sz w:val="20"/>
                <w:szCs w:val="20"/>
                <w:lang w:val="en-GB"/>
              </w:rPr>
              <w:t>)</w:t>
            </w:r>
          </w:p>
        </w:tc>
        <w:sdt>
          <w:sdtPr>
            <w:rPr>
              <w:b/>
              <w:szCs w:val="24"/>
            </w:rPr>
            <w:id w:val="-933743634"/>
          </w:sdtPr>
          <w:sdtEndPr/>
          <w:sdtContent>
            <w:tc>
              <w:tcPr>
                <w:tcW w:w="6305" w:type="dxa"/>
              </w:tcPr>
              <w:sdt>
                <w:sdtPr>
                  <w:id w:val="-2133859994"/>
                  <w:showingPlcHdr/>
                </w:sdtPr>
                <w:sdtEndPr/>
                <w:sdtContent>
                  <w:p w:rsidR="00954262" w:rsidRPr="00095E74" w:rsidRDefault="00954262" w:rsidP="00053535">
                    <w:pPr>
                      <w:ind w:firstLine="0"/>
                    </w:pPr>
                    <w:r w:rsidRPr="00907279">
                      <w:rPr>
                        <w:rStyle w:val="Textzstupnhosymbolu"/>
                        <w:color w:val="FFFFFF" w:themeColor="background1"/>
                        <w:shd w:val="pct5" w:color="auto" w:fill="auto"/>
                        <w14:textFill>
                          <w14:noFill/>
                        </w14:textFill>
                      </w:rPr>
                      <w:t>Kliknutím zadáte text.</w:t>
                    </w:r>
                  </w:p>
                </w:sdtContent>
              </w:sdt>
            </w:tc>
          </w:sdtContent>
        </w:sdt>
      </w:tr>
    </w:tbl>
    <w:p w:rsidR="00BC4447" w:rsidRDefault="00BC4447" w:rsidP="00BC4447"/>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3A49CB" w:rsidTr="003A49CB">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3A49CB" w:rsidRDefault="005A3354" w:rsidP="00605B1C">
            <w:pPr>
              <w:pStyle w:val="Odsekzoznamu"/>
              <w:numPr>
                <w:ilvl w:val="0"/>
                <w:numId w:val="17"/>
              </w:numPr>
              <w:ind w:left="426" w:hanging="426"/>
            </w:pPr>
            <w:r>
              <w:rPr>
                <w:b/>
              </w:rPr>
              <w:t xml:space="preserve">Poznámky </w:t>
            </w:r>
            <w:r w:rsidRPr="005A3354">
              <w:rPr>
                <w:i/>
                <w:sz w:val="20"/>
                <w:szCs w:val="20"/>
                <w:lang w:val="en-GB"/>
              </w:rPr>
              <w:t>(</w:t>
            </w:r>
            <w:r w:rsidR="00007857" w:rsidRPr="005A3354">
              <w:rPr>
                <w:i/>
                <w:sz w:val="20"/>
                <w:szCs w:val="20"/>
                <w:lang w:val="en-GB"/>
              </w:rPr>
              <w:t>Notes</w:t>
            </w:r>
            <w:r w:rsidRPr="005A3354">
              <w:rPr>
                <w:i/>
                <w:sz w:val="20"/>
                <w:szCs w:val="20"/>
                <w:lang w:val="en-GB"/>
              </w:rPr>
              <w:t>)</w:t>
            </w:r>
          </w:p>
        </w:tc>
      </w:tr>
      <w:tr w:rsidR="003A49CB" w:rsidTr="003A49CB">
        <w:trPr>
          <w:trHeight w:val="340"/>
        </w:trPr>
        <w:tc>
          <w:tcPr>
            <w:tcW w:w="9854" w:type="dxa"/>
            <w:tcBorders>
              <w:top w:val="single" w:sz="12" w:space="0" w:color="4C7563" w:themeColor="accent1"/>
            </w:tcBorders>
            <w:shd w:val="clear" w:color="auto" w:fill="FFFFFF" w:themeFill="background1"/>
          </w:tcPr>
          <w:sdt>
            <w:sdtPr>
              <w:id w:val="-673654831"/>
              <w:showingPlcHdr/>
            </w:sdtPr>
            <w:sdtEndPr/>
            <w:sdtContent>
              <w:p w:rsidR="003A49CB" w:rsidRPr="00095E74" w:rsidRDefault="003A49CB" w:rsidP="00053535">
                <w:pPr>
                  <w:ind w:firstLine="0"/>
                </w:pPr>
                <w:r w:rsidRPr="000D6C45">
                  <w:rPr>
                    <w:rStyle w:val="Textzstupnhosymbolu"/>
                    <w:color w:val="FFFFFF" w:themeColor="background1"/>
                    <w:shd w:val="pct5" w:color="auto" w:fill="auto"/>
                    <w14:textFill>
                      <w14:noFill/>
                    </w14:textFill>
                  </w:rPr>
                  <w:t>Kliknutím zadáte text.</w:t>
                </w:r>
              </w:p>
            </w:sdtContent>
          </w:sdt>
        </w:tc>
      </w:tr>
    </w:tbl>
    <w:p w:rsidR="00BC4447" w:rsidRDefault="00BC4447" w:rsidP="00BC4447"/>
    <w:p w:rsidR="001806D9" w:rsidRDefault="005A3354" w:rsidP="000860D2">
      <w:pPr>
        <w:pStyle w:val="Nadpis1"/>
        <w:numPr>
          <w:ilvl w:val="0"/>
          <w:numId w:val="14"/>
        </w:numPr>
        <w:spacing w:before="0"/>
        <w:ind w:left="284" w:hanging="284"/>
        <w:rPr>
          <w:i/>
          <w:sz w:val="22"/>
          <w:szCs w:val="22"/>
        </w:rPr>
      </w:pPr>
      <w:r w:rsidRPr="005A3354">
        <w:rPr>
          <w:szCs w:val="26"/>
        </w:rPr>
        <w:t xml:space="preserve">VYHLÁSENIA A SÚHLASY KLIENTA </w:t>
      </w:r>
      <w:r w:rsidRPr="005A3354">
        <w:rPr>
          <w:i/>
          <w:sz w:val="22"/>
          <w:szCs w:val="22"/>
        </w:rPr>
        <w:t>(</w:t>
      </w:r>
      <w:r w:rsidR="00007857" w:rsidRPr="005A3354">
        <w:rPr>
          <w:i/>
          <w:sz w:val="22"/>
          <w:szCs w:val="22"/>
        </w:rPr>
        <w:t>STATE</w:t>
      </w:r>
      <w:r w:rsidRPr="005A3354">
        <w:rPr>
          <w:i/>
          <w:sz w:val="22"/>
          <w:szCs w:val="22"/>
        </w:rPr>
        <w:t>MENTS AND COSENTS OF THE CLIENT)</w:t>
      </w:r>
    </w:p>
    <w:p w:rsidR="005A3354" w:rsidRPr="005A3354" w:rsidRDefault="005A3354" w:rsidP="005A3354"/>
    <w:tbl>
      <w:tblPr>
        <w:tblStyle w:val="Mriekatabuky"/>
        <w:tblW w:w="0" w:type="auto"/>
        <w:tblBorders>
          <w:top w:val="single" w:sz="12" w:space="0" w:color="4C7563" w:themeColor="accent1"/>
          <w:left w:val="single" w:sz="12" w:space="0" w:color="4C7563" w:themeColor="accent1"/>
          <w:bottom w:val="single" w:sz="12" w:space="0" w:color="4C7563" w:themeColor="accent1"/>
          <w:right w:val="single" w:sz="12" w:space="0" w:color="4C7563" w:themeColor="accent1"/>
          <w:insideH w:val="single" w:sz="12" w:space="0" w:color="4C7563" w:themeColor="accent1"/>
          <w:insideV w:val="single" w:sz="12" w:space="0" w:color="4C7563" w:themeColor="accent1"/>
        </w:tblBorders>
        <w:tblLayout w:type="fixed"/>
        <w:tblLook w:val="04A0" w:firstRow="1" w:lastRow="0" w:firstColumn="1" w:lastColumn="0" w:noHBand="0" w:noVBand="1"/>
      </w:tblPr>
      <w:tblGrid>
        <w:gridCol w:w="9854"/>
      </w:tblGrid>
      <w:tr w:rsidR="00ED3D73" w:rsidRPr="008A5011" w:rsidTr="00053535">
        <w:trPr>
          <w:trHeight w:val="340"/>
        </w:trPr>
        <w:tc>
          <w:tcPr>
            <w:tcW w:w="9854" w:type="dxa"/>
            <w:tcBorders>
              <w:top w:val="single" w:sz="12" w:space="0" w:color="4C7563" w:themeColor="accent1"/>
              <w:left w:val="single" w:sz="12" w:space="0" w:color="4C7563" w:themeColor="accent1"/>
              <w:bottom w:val="single" w:sz="12" w:space="0" w:color="4C7563" w:themeColor="accent1"/>
              <w:right w:val="single" w:sz="12" w:space="0" w:color="4C7563" w:themeColor="accent1"/>
            </w:tcBorders>
            <w:shd w:val="clear" w:color="auto" w:fill="D8E6DF" w:themeFill="accent1" w:themeFillTint="33"/>
          </w:tcPr>
          <w:p w:rsidR="005A3354" w:rsidRDefault="005A3354" w:rsidP="004C2C39">
            <w:pPr>
              <w:pStyle w:val="Odsekzoznamu"/>
              <w:numPr>
                <w:ilvl w:val="0"/>
                <w:numId w:val="3"/>
              </w:numPr>
              <w:jc w:val="both"/>
              <w:rPr>
                <w:szCs w:val="24"/>
              </w:rPr>
            </w:pPr>
            <w:r>
              <w:rPr>
                <w:szCs w:val="24"/>
              </w:rPr>
              <w:t>Klient zodpovedá za údaje a obsah tohto formulára.</w:t>
            </w:r>
          </w:p>
          <w:p w:rsidR="00C81973" w:rsidRPr="005A3354" w:rsidRDefault="005A3354" w:rsidP="004C2C39">
            <w:pPr>
              <w:pStyle w:val="Odsekzoznamu"/>
              <w:ind w:left="360" w:firstLine="0"/>
              <w:jc w:val="both"/>
              <w:rPr>
                <w:i/>
                <w:sz w:val="20"/>
                <w:szCs w:val="20"/>
              </w:rPr>
            </w:pPr>
            <w:r w:rsidRPr="005A3354">
              <w:rPr>
                <w:i/>
                <w:sz w:val="20"/>
                <w:szCs w:val="20"/>
                <w:lang w:val="en-GB"/>
              </w:rPr>
              <w:t>(</w:t>
            </w:r>
            <w:r w:rsidR="0020180B" w:rsidRPr="005A3354">
              <w:rPr>
                <w:i/>
                <w:sz w:val="20"/>
                <w:szCs w:val="20"/>
                <w:lang w:val="en-GB"/>
              </w:rPr>
              <w:t>The client is responsible for data and content of this form.</w:t>
            </w:r>
            <w:r w:rsidRPr="005A3354">
              <w:rPr>
                <w:i/>
                <w:sz w:val="20"/>
                <w:szCs w:val="20"/>
                <w:lang w:val="en-GB"/>
              </w:rPr>
              <w:t>)</w:t>
            </w:r>
          </w:p>
          <w:p w:rsidR="005A3354" w:rsidRPr="005A3354" w:rsidRDefault="005A3354" w:rsidP="004C2C39">
            <w:pPr>
              <w:pStyle w:val="Odsekzoznamu"/>
              <w:numPr>
                <w:ilvl w:val="0"/>
                <w:numId w:val="3"/>
              </w:numPr>
              <w:jc w:val="both"/>
              <w:rPr>
                <w:i/>
                <w:sz w:val="18"/>
                <w:szCs w:val="24"/>
              </w:rPr>
            </w:pPr>
            <w:r w:rsidRPr="005A3354">
              <w:rPr>
                <w:szCs w:val="24"/>
              </w:rPr>
              <w:t xml:space="preserve">Klient týmto čestne vyhlasuje, že všetky údaje a informácie obsiahnuté v tomto formulári, resp. aj v ňom obsiahnutom čestnom vyhlásení a v jeho prílohách, ktoré spoločnosti CDCP poskytol za účelom plnenia povinností vyplývajúcich zo zákona č. 359/2015 Z. z., Vyhlášky Ministerstva financií Slovenskej republiky č. 446/2015 Z. z a povinností vyplývajúcich z Dohody medzi Slovenskou republikou a Spojenými štátmi americkými na zlepšenie dodržiavania medzinárodných predpisov v oblasti daní a na implementáciu zákona FATCA, sú úplné, pravdivé a správne. </w:t>
            </w:r>
          </w:p>
          <w:p w:rsidR="00C81973" w:rsidRPr="005A3354" w:rsidRDefault="005A3354" w:rsidP="004C2C39">
            <w:pPr>
              <w:pStyle w:val="Odsekzoznamu"/>
              <w:ind w:left="360" w:firstLine="0"/>
              <w:jc w:val="both"/>
              <w:rPr>
                <w:i/>
                <w:sz w:val="20"/>
                <w:szCs w:val="20"/>
              </w:rPr>
            </w:pPr>
            <w:r w:rsidRPr="005A3354">
              <w:rPr>
                <w:i/>
                <w:sz w:val="20"/>
                <w:szCs w:val="20"/>
                <w:lang w:val="en-GB"/>
              </w:rPr>
              <w:t>(</w:t>
            </w:r>
            <w:r w:rsidR="001C0439" w:rsidRPr="005A3354">
              <w:rPr>
                <w:i/>
                <w:sz w:val="20"/>
                <w:szCs w:val="20"/>
                <w:lang w:val="en-GB"/>
              </w:rPr>
              <w:t xml:space="preserve">The client hereby declares that all data and information in this form and in included statutory declaration or in the attachments provided to CDCP for purpose of meeting obligations resulting from the act 359/2015 Coll., Decree of the Ministry of Finance of the Slovak Republic </w:t>
            </w:r>
            <w:r w:rsidR="002A56D4" w:rsidRPr="005A3354">
              <w:rPr>
                <w:i/>
                <w:sz w:val="20"/>
                <w:szCs w:val="20"/>
                <w:lang w:val="en-GB"/>
              </w:rPr>
              <w:t xml:space="preserve">446/2015 Coll. and obligations resulting from the Agreement between the Slovak Republic and the United States of America </w:t>
            </w:r>
            <w:r w:rsidR="000D6C45" w:rsidRPr="005A3354">
              <w:rPr>
                <w:i/>
                <w:sz w:val="20"/>
                <w:szCs w:val="20"/>
                <w:lang w:val="en-GB"/>
              </w:rPr>
              <w:t xml:space="preserve">to Improve International Tax Compliance and to Implement FATCA </w:t>
            </w:r>
            <w:r w:rsidR="002A56D4" w:rsidRPr="005A3354">
              <w:rPr>
                <w:i/>
                <w:sz w:val="20"/>
                <w:szCs w:val="20"/>
                <w:lang w:val="en-GB"/>
              </w:rPr>
              <w:t>are complete, true and correct.</w:t>
            </w:r>
            <w:r w:rsidRPr="005A3354">
              <w:rPr>
                <w:i/>
                <w:sz w:val="20"/>
                <w:szCs w:val="20"/>
              </w:rPr>
              <w:t>)</w:t>
            </w:r>
          </w:p>
          <w:p w:rsidR="005A3354" w:rsidRPr="004C43DF" w:rsidRDefault="005A3354" w:rsidP="004C2C39">
            <w:pPr>
              <w:pStyle w:val="Odsekzoznamu"/>
              <w:numPr>
                <w:ilvl w:val="0"/>
                <w:numId w:val="3"/>
              </w:numPr>
              <w:jc w:val="both"/>
              <w:rPr>
                <w:szCs w:val="24"/>
              </w:rPr>
            </w:pPr>
            <w:r w:rsidRPr="00520600">
              <w:rPr>
                <w:szCs w:val="24"/>
              </w:rPr>
              <w:t xml:space="preserve">Klient </w:t>
            </w:r>
            <w:r>
              <w:rPr>
                <w:szCs w:val="24"/>
              </w:rPr>
              <w:t>týmto</w:t>
            </w:r>
            <w:r w:rsidRPr="00520600">
              <w:rPr>
                <w:szCs w:val="24"/>
              </w:rPr>
              <w:t xml:space="preserve"> zároveň berie na vedomie, že je povinný spoločnosti CDCP bez zbytočného odkladu oznámiť zmenu údajov uvedených v tomto formulári</w:t>
            </w:r>
            <w:r>
              <w:rPr>
                <w:szCs w:val="24"/>
              </w:rPr>
              <w:t xml:space="preserve"> , resp. aj v ňom obsiahnutom</w:t>
            </w:r>
            <w:r w:rsidRPr="00520600">
              <w:rPr>
                <w:szCs w:val="24"/>
              </w:rPr>
              <w:t xml:space="preserve"> čestnom vyhlásení alebo v jeho prílohách.</w:t>
            </w:r>
          </w:p>
          <w:p w:rsidR="002175E8" w:rsidRPr="005A3354" w:rsidRDefault="005A3354" w:rsidP="004C2C39">
            <w:pPr>
              <w:pStyle w:val="Odsekzoznamu"/>
              <w:ind w:left="360" w:firstLine="0"/>
              <w:jc w:val="both"/>
              <w:rPr>
                <w:i/>
                <w:sz w:val="20"/>
                <w:szCs w:val="20"/>
                <w:lang w:val="en-GB"/>
              </w:rPr>
            </w:pPr>
            <w:r w:rsidRPr="005A3354">
              <w:rPr>
                <w:i/>
                <w:sz w:val="20"/>
                <w:szCs w:val="20"/>
                <w:lang w:val="en-GB"/>
              </w:rPr>
              <w:t>(</w:t>
            </w:r>
            <w:r w:rsidR="0020180B" w:rsidRPr="005A3354">
              <w:rPr>
                <w:i/>
                <w:sz w:val="20"/>
                <w:szCs w:val="20"/>
                <w:lang w:val="en-GB"/>
              </w:rPr>
              <w:t xml:space="preserve">The client acknowledges that is obliged to inform CDCP on change </w:t>
            </w:r>
            <w:r w:rsidR="00B24F8E" w:rsidRPr="005A3354">
              <w:rPr>
                <w:i/>
                <w:sz w:val="20"/>
                <w:szCs w:val="20"/>
                <w:lang w:val="en-GB"/>
              </w:rPr>
              <w:t>of</w:t>
            </w:r>
            <w:r w:rsidR="0020180B" w:rsidRPr="005A3354">
              <w:rPr>
                <w:i/>
                <w:sz w:val="20"/>
                <w:szCs w:val="20"/>
                <w:lang w:val="en-GB"/>
              </w:rPr>
              <w:t xml:space="preserve"> data stated in this form without delay</w:t>
            </w:r>
            <w:r w:rsidR="00836BD0" w:rsidRPr="005A3354">
              <w:rPr>
                <w:i/>
                <w:sz w:val="20"/>
                <w:szCs w:val="20"/>
                <w:lang w:val="en-GB"/>
              </w:rPr>
              <w:t xml:space="preserve">, or </w:t>
            </w:r>
            <w:r w:rsidR="001C0439" w:rsidRPr="005A3354">
              <w:rPr>
                <w:i/>
                <w:sz w:val="20"/>
                <w:szCs w:val="20"/>
                <w:lang w:val="en-GB"/>
              </w:rPr>
              <w:t>in included statutory declaration or in the attachments.</w:t>
            </w:r>
            <w:r w:rsidRPr="005A3354">
              <w:rPr>
                <w:i/>
                <w:sz w:val="20"/>
                <w:szCs w:val="20"/>
                <w:lang w:val="en-GB"/>
              </w:rPr>
              <w:t>)</w:t>
            </w:r>
          </w:p>
          <w:p w:rsidR="005A3354" w:rsidRPr="005A3354" w:rsidRDefault="005A3354" w:rsidP="004C2C39">
            <w:pPr>
              <w:pStyle w:val="Odsekzoznamu"/>
              <w:numPr>
                <w:ilvl w:val="0"/>
                <w:numId w:val="3"/>
              </w:numPr>
              <w:jc w:val="both"/>
              <w:rPr>
                <w:szCs w:val="24"/>
              </w:rPr>
            </w:pPr>
            <w:r w:rsidRPr="005A3354">
              <w:rPr>
                <w:szCs w:val="24"/>
              </w:rPr>
              <w:t>Klient sa týmto zaväzuje dodržiavať Prevádzkový poriadok Centrálneho depozitára cenných papierov SR, a.s., ktorý je prístupný v sídle CDCP a zverejnený na webovej stránke www.cdcp.sk.</w:t>
            </w:r>
          </w:p>
          <w:p w:rsidR="00ED3D73" w:rsidRPr="005A3354" w:rsidRDefault="005A3354" w:rsidP="004C2C39">
            <w:pPr>
              <w:pStyle w:val="Odsekzoznamu"/>
              <w:ind w:left="360" w:firstLine="0"/>
              <w:jc w:val="both"/>
              <w:rPr>
                <w:i/>
                <w:sz w:val="20"/>
                <w:szCs w:val="20"/>
                <w:lang w:val="en-GB"/>
              </w:rPr>
            </w:pPr>
            <w:r w:rsidRPr="005A3354">
              <w:rPr>
                <w:i/>
                <w:sz w:val="20"/>
                <w:szCs w:val="20"/>
                <w:lang w:val="en-GB"/>
              </w:rPr>
              <w:t>(</w:t>
            </w:r>
            <w:r w:rsidR="00D807D2" w:rsidRPr="005A3354">
              <w:rPr>
                <w:i/>
                <w:sz w:val="20"/>
                <w:szCs w:val="20"/>
                <w:lang w:val="en-GB"/>
              </w:rPr>
              <w:t xml:space="preserve">The Client hereby undertakes to adhere to the Rules of Operation of Centrálny depozitár cenných papierov SR, a.s., which is accessible at the CDCP headquarters and published on the website </w:t>
            </w:r>
            <w:hyperlink r:id="rId9" w:history="1">
              <w:r w:rsidR="00D807D2" w:rsidRPr="005A3354">
                <w:rPr>
                  <w:i/>
                  <w:sz w:val="20"/>
                  <w:szCs w:val="20"/>
                </w:rPr>
                <w:t>www.cdcp.sk</w:t>
              </w:r>
            </w:hyperlink>
            <w:r w:rsidR="00D807D2" w:rsidRPr="005A3354">
              <w:rPr>
                <w:i/>
                <w:sz w:val="20"/>
                <w:szCs w:val="20"/>
                <w:lang w:val="en-GB"/>
              </w:rPr>
              <w:t>.</w:t>
            </w:r>
            <w:r w:rsidRPr="005A3354">
              <w:rPr>
                <w:i/>
                <w:sz w:val="20"/>
                <w:szCs w:val="20"/>
                <w:lang w:val="en-GB"/>
              </w:rPr>
              <w:t>)</w:t>
            </w:r>
          </w:p>
          <w:p w:rsidR="005A3354" w:rsidRPr="005A3354" w:rsidRDefault="005A3354" w:rsidP="004C2C39">
            <w:pPr>
              <w:pStyle w:val="Odsekzoznamu"/>
              <w:numPr>
                <w:ilvl w:val="0"/>
                <w:numId w:val="3"/>
              </w:numPr>
              <w:jc w:val="both"/>
              <w:rPr>
                <w:szCs w:val="24"/>
              </w:rPr>
            </w:pPr>
            <w:r>
              <w:rPr>
                <w:rFonts w:cs="Times New Roman"/>
                <w:szCs w:val="24"/>
              </w:rPr>
              <w:t>Klient</w:t>
            </w:r>
            <w:r w:rsidRPr="00ED3D73">
              <w:rPr>
                <w:rFonts w:cs="Times New Roman"/>
                <w:szCs w:val="24"/>
              </w:rPr>
              <w:t>, ktorý žiada o poskytnutie služieb na základe tejto žiadosti je CDCP povinný poskytnúť všetky nevyhnutné doklady a informácie potrebné pre poskytnutie týchto služieb, ako aj všetky potrebné doklady a informácie za účelom posúdenia rizík</w:t>
            </w:r>
          </w:p>
          <w:p w:rsidR="0039729D" w:rsidRDefault="005A3354" w:rsidP="004C2C39">
            <w:pPr>
              <w:pStyle w:val="Odsekzoznamu"/>
              <w:ind w:left="360" w:firstLine="0"/>
              <w:jc w:val="both"/>
              <w:rPr>
                <w:i/>
                <w:sz w:val="20"/>
                <w:szCs w:val="20"/>
                <w:lang w:val="en-GB"/>
              </w:rPr>
            </w:pPr>
            <w:r>
              <w:rPr>
                <w:i/>
                <w:sz w:val="20"/>
                <w:szCs w:val="20"/>
                <w:lang w:val="en-GB"/>
              </w:rPr>
              <w:t>(</w:t>
            </w:r>
            <w:r w:rsidR="00D807D2" w:rsidRPr="005A3354">
              <w:rPr>
                <w:i/>
                <w:sz w:val="20"/>
                <w:szCs w:val="20"/>
                <w:lang w:val="en-GB"/>
              </w:rPr>
              <w:t>The client requesting for provision of services based on this application is obliged to provide CDCP with all documents and information necessary to provide the required service and to assess the risks.</w:t>
            </w:r>
            <w:r>
              <w:rPr>
                <w:i/>
                <w:sz w:val="20"/>
                <w:szCs w:val="20"/>
                <w:lang w:val="en-GB"/>
              </w:rPr>
              <w:t>)</w:t>
            </w:r>
          </w:p>
          <w:p w:rsidR="002C678F" w:rsidRPr="00F248A5" w:rsidRDefault="002C678F" w:rsidP="002C678F">
            <w:pPr>
              <w:pStyle w:val="Odsekzoznamu"/>
              <w:numPr>
                <w:ilvl w:val="0"/>
                <w:numId w:val="3"/>
              </w:numPr>
              <w:jc w:val="both"/>
              <w:rPr>
                <w:rFonts w:cs="Times New Roman"/>
                <w:szCs w:val="24"/>
              </w:rPr>
            </w:pPr>
            <w:r w:rsidRPr="00F248A5">
              <w:rPr>
                <w:rFonts w:cs="Times New Roman"/>
                <w:szCs w:val="24"/>
              </w:rPr>
              <w:t xml:space="preserve">V prípade pochybností je rozhodné slovenské znenie textu tohto </w:t>
            </w:r>
            <w:r>
              <w:rPr>
                <w:rFonts w:cs="Times New Roman"/>
                <w:szCs w:val="24"/>
              </w:rPr>
              <w:t>formulára</w:t>
            </w:r>
            <w:r w:rsidRPr="00F248A5">
              <w:rPr>
                <w:rFonts w:cs="Times New Roman"/>
                <w:szCs w:val="24"/>
              </w:rPr>
              <w:t>.</w:t>
            </w:r>
          </w:p>
          <w:p w:rsidR="002C678F" w:rsidRPr="000D6C45" w:rsidRDefault="002C678F" w:rsidP="002C678F">
            <w:pPr>
              <w:pStyle w:val="Odsekzoznamu"/>
              <w:ind w:left="360" w:firstLine="0"/>
              <w:jc w:val="both"/>
              <w:rPr>
                <w:szCs w:val="24"/>
              </w:rPr>
            </w:pPr>
            <w:r w:rsidRPr="00F248A5">
              <w:rPr>
                <w:i/>
                <w:sz w:val="20"/>
                <w:szCs w:val="20"/>
                <w:lang w:val="en-GB"/>
              </w:rPr>
              <w:t xml:space="preserve">(The Slovak wording of this </w:t>
            </w:r>
            <w:r>
              <w:rPr>
                <w:i/>
                <w:sz w:val="20"/>
                <w:szCs w:val="20"/>
                <w:lang w:val="en-GB"/>
              </w:rPr>
              <w:t>form</w:t>
            </w:r>
            <w:r w:rsidRPr="00F248A5">
              <w:rPr>
                <w:i/>
                <w:sz w:val="20"/>
                <w:szCs w:val="20"/>
                <w:lang w:val="en-GB"/>
              </w:rPr>
              <w:t xml:space="preserve"> is prevailing in case there should be any doubts</w:t>
            </w:r>
            <w:r>
              <w:rPr>
                <w:i/>
                <w:sz w:val="20"/>
                <w:szCs w:val="20"/>
                <w:lang w:val="en-GB"/>
              </w:rPr>
              <w:t>.</w:t>
            </w:r>
            <w:r w:rsidRPr="00F248A5">
              <w:rPr>
                <w:i/>
                <w:sz w:val="20"/>
                <w:szCs w:val="20"/>
                <w:lang w:val="en-GB"/>
              </w:rPr>
              <w:t>)</w:t>
            </w:r>
          </w:p>
        </w:tc>
      </w:tr>
    </w:tbl>
    <w:p w:rsidR="00112A91" w:rsidRDefault="00112A91" w:rsidP="002D5890">
      <w:pPr>
        <w:pStyle w:val="Textvysvetlivky"/>
        <w:spacing w:line="276" w:lineRule="auto"/>
        <w:ind w:firstLine="0"/>
        <w:rPr>
          <w:b/>
        </w:rPr>
      </w:pPr>
    </w:p>
    <w:p w:rsidR="002C678F" w:rsidRDefault="002C678F" w:rsidP="002D5890">
      <w:pPr>
        <w:pStyle w:val="Textvysvetlivky"/>
        <w:spacing w:line="276" w:lineRule="auto"/>
        <w:ind w:firstLine="0"/>
        <w:rPr>
          <w:b/>
        </w:rPr>
      </w:pPr>
    </w:p>
    <w:p w:rsidR="00FA3D89" w:rsidRPr="00EE0114" w:rsidRDefault="00FA3D89" w:rsidP="00FA3D89">
      <w:pPr>
        <w:tabs>
          <w:tab w:val="left" w:pos="5390"/>
        </w:tabs>
        <w:ind w:firstLine="0"/>
        <w:rPr>
          <w:szCs w:val="22"/>
        </w:rPr>
      </w:pPr>
      <w:r w:rsidRPr="00EE0114">
        <w:rPr>
          <w:b/>
          <w:szCs w:val="22"/>
        </w:rPr>
        <w:t>Dátum</w:t>
      </w:r>
      <w:r>
        <w:rPr>
          <w:b/>
          <w:szCs w:val="22"/>
        </w:rPr>
        <w:t xml:space="preserve"> </w:t>
      </w:r>
      <w:r w:rsidRPr="00FA3D89">
        <w:rPr>
          <w:b/>
          <w:i/>
          <w:sz w:val="20"/>
          <w:szCs w:val="20"/>
        </w:rPr>
        <w:t>(Date)</w:t>
      </w:r>
      <w:r w:rsidRPr="00EE0114">
        <w:rPr>
          <w:b/>
          <w:szCs w:val="22"/>
        </w:rPr>
        <w:t xml:space="preserve"> </w:t>
      </w:r>
      <w:sdt>
        <w:sdtPr>
          <w:rPr>
            <w:szCs w:val="22"/>
          </w:rPr>
          <w:id w:val="496544977"/>
          <w:showingPlcHdr/>
        </w:sdtPr>
        <w:sdtEndPr/>
        <w:sdtContent>
          <w:r w:rsidRPr="00EE0114">
            <w:rPr>
              <w:rStyle w:val="Textzstupnhosymbolu"/>
              <w:color w:val="FFFFFF" w:themeColor="background1"/>
              <w:szCs w:val="22"/>
              <w:shd w:val="pct5" w:color="auto" w:fill="auto"/>
              <w14:textFill>
                <w14:noFill/>
              </w14:textFill>
            </w:rPr>
            <w:t>Kliknutím zadáte text.</w:t>
          </w:r>
        </w:sdtContent>
      </w:sdt>
      <w:r w:rsidRPr="00EE0114">
        <w:rPr>
          <w:szCs w:val="22"/>
        </w:rPr>
        <w:tab/>
      </w:r>
      <w:r w:rsidRPr="00EE0114">
        <w:rPr>
          <w:szCs w:val="22"/>
        </w:rPr>
        <w:tab/>
      </w:r>
      <w:r w:rsidRPr="00EE0114">
        <w:rPr>
          <w:b/>
          <w:szCs w:val="22"/>
        </w:rPr>
        <w:t xml:space="preserve">V Bratislave, dňa </w:t>
      </w:r>
    </w:p>
    <w:p w:rsidR="00FA3D89" w:rsidRDefault="00FA3D89" w:rsidP="00FA3D89">
      <w:pPr>
        <w:pStyle w:val="Textvysvetlivky"/>
        <w:spacing w:line="276" w:lineRule="auto"/>
        <w:ind w:firstLine="0"/>
        <w:rPr>
          <w:b/>
          <w:sz w:val="22"/>
          <w:szCs w:val="22"/>
        </w:rPr>
      </w:pPr>
    </w:p>
    <w:p w:rsidR="002C678F" w:rsidRDefault="002C678F" w:rsidP="00FA3D89">
      <w:pPr>
        <w:pStyle w:val="Textvysvetlivky"/>
        <w:spacing w:line="276" w:lineRule="auto"/>
        <w:ind w:firstLine="0"/>
        <w:rPr>
          <w:b/>
          <w:sz w:val="22"/>
          <w:szCs w:val="22"/>
        </w:rPr>
      </w:pPr>
    </w:p>
    <w:p w:rsidR="002C678F" w:rsidRPr="00EE0114" w:rsidRDefault="002C678F" w:rsidP="00FA3D89">
      <w:pPr>
        <w:pStyle w:val="Textvysvetlivky"/>
        <w:spacing w:line="276" w:lineRule="auto"/>
        <w:ind w:firstLine="0"/>
        <w:rPr>
          <w:b/>
          <w:sz w:val="22"/>
          <w:szCs w:val="22"/>
        </w:rPr>
      </w:pPr>
    </w:p>
    <w:p w:rsidR="00FA3D89" w:rsidRPr="00EE0114" w:rsidRDefault="00FA3D89" w:rsidP="00FA3D89">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6432" behindDoc="0" locked="0" layoutInCell="1" allowOverlap="1" wp14:anchorId="4CBC9A32" wp14:editId="7A746114">
                <wp:simplePos x="0" y="0"/>
                <wp:positionH relativeFrom="column">
                  <wp:posOffset>3426460</wp:posOffset>
                </wp:positionH>
                <wp:positionV relativeFrom="paragraph">
                  <wp:posOffset>175895</wp:posOffset>
                </wp:positionV>
                <wp:extent cx="2705100" cy="0"/>
                <wp:effectExtent l="0" t="0" r="19050" b="19050"/>
                <wp:wrapNone/>
                <wp:docPr id="5" name="Rovná spojnica 5"/>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5" o:spid="_x0000_s1026" style="position:absolute;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69.8pt,13.85pt" to="482.8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" strokecolor="#4c7563"/>
            </w:pict>
          </mc:Fallback>
        </mc:AlternateContent>
      </w:r>
      <w:r w:rsidRPr="00EE0114">
        <w:rPr>
          <w:b/>
          <w:noProof/>
          <w:sz w:val="22"/>
          <w:szCs w:val="22"/>
          <w:lang w:eastAsia="sk-SK"/>
        </w:rPr>
        <mc:AlternateContent>
          <mc:Choice Requires="wps">
            <w:drawing>
              <wp:anchor distT="0" distB="0" distL="114300" distR="114300" simplePos="0" relativeHeight="251665408" behindDoc="0" locked="0" layoutInCell="1" allowOverlap="1" wp14:anchorId="5DBD3234" wp14:editId="3E3BCAFC">
                <wp:simplePos x="0" y="0"/>
                <wp:positionH relativeFrom="column">
                  <wp:posOffset>3810</wp:posOffset>
                </wp:positionH>
                <wp:positionV relativeFrom="paragraph">
                  <wp:posOffset>175895</wp:posOffset>
                </wp:positionV>
                <wp:extent cx="2705100" cy="0"/>
                <wp:effectExtent l="0" t="0" r="19050" b="19050"/>
                <wp:wrapNone/>
                <wp:docPr id="6" name="Rovná spojnica 6"/>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6" o:spid="_x0000_s1026" style="position:absolute;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3.85pt" to="213.3pt,1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" strokecolor="#4c7563"/>
            </w:pict>
          </mc:Fallback>
        </mc:AlternateContent>
      </w:r>
    </w:p>
    <w:p w:rsidR="00FA3D89" w:rsidRPr="00575129" w:rsidRDefault="00FA3D89" w:rsidP="00FA3D89">
      <w:pPr>
        <w:pStyle w:val="Textvysvetlivky"/>
        <w:spacing w:line="276" w:lineRule="auto"/>
        <w:ind w:firstLine="0"/>
        <w:rPr>
          <w:b/>
          <w:szCs w:val="20"/>
        </w:rPr>
      </w:pPr>
      <w:r w:rsidRPr="00FA3D89">
        <w:rPr>
          <w:b/>
          <w:szCs w:val="20"/>
          <w:lang w:val="en-GB"/>
        </w:rPr>
        <w:t>Signature of the client</w:t>
      </w:r>
      <w:r>
        <w:rPr>
          <w:b/>
          <w:szCs w:val="20"/>
          <w:lang w:val="en-GB"/>
        </w:rPr>
        <w:tab/>
      </w:r>
      <w:r>
        <w:rPr>
          <w:b/>
          <w:szCs w:val="20"/>
          <w:lang w:val="en-GB"/>
        </w:rPr>
        <w:tab/>
      </w:r>
      <w:r>
        <w:rPr>
          <w:b/>
          <w:szCs w:val="20"/>
          <w:lang w:val="en-GB"/>
        </w:rPr>
        <w:tab/>
      </w:r>
      <w:r w:rsidRPr="00575129">
        <w:rPr>
          <w:b/>
          <w:szCs w:val="20"/>
        </w:rPr>
        <w:tab/>
      </w:r>
      <w:r w:rsidRPr="00575129">
        <w:rPr>
          <w:b/>
          <w:szCs w:val="20"/>
        </w:rPr>
        <w:tab/>
      </w:r>
      <w:r w:rsidRPr="00575129">
        <w:rPr>
          <w:b/>
          <w:szCs w:val="20"/>
        </w:rPr>
        <w:tab/>
        <w:t>pečiatka CDCP a podpis zamestnanca CDCP</w:t>
      </w:r>
    </w:p>
    <w:p w:rsidR="00FA3D89" w:rsidRPr="00FA3D89" w:rsidRDefault="00FA3D89" w:rsidP="00FA3D89">
      <w:pPr>
        <w:pStyle w:val="Textvysvetlivky"/>
        <w:tabs>
          <w:tab w:val="left" w:pos="3650"/>
          <w:tab w:val="left" w:pos="4290"/>
        </w:tabs>
        <w:spacing w:line="276" w:lineRule="auto"/>
        <w:ind w:firstLine="0"/>
        <w:rPr>
          <w:b/>
          <w:i/>
          <w:sz w:val="22"/>
          <w:szCs w:val="22"/>
        </w:rPr>
      </w:pPr>
      <w:r>
        <w:rPr>
          <w:b/>
          <w:i/>
          <w:szCs w:val="20"/>
        </w:rPr>
        <w:t>Full name</w:t>
      </w:r>
      <w:r w:rsidRPr="009055F4">
        <w:rPr>
          <w:b/>
          <w:i/>
          <w:szCs w:val="20"/>
        </w:rPr>
        <w:t>:</w:t>
      </w:r>
      <w:r w:rsidRPr="009055F4">
        <w:rPr>
          <w:szCs w:val="20"/>
        </w:rPr>
        <w:t xml:space="preserve"> </w:t>
      </w:r>
      <w:sdt>
        <w:sdtPr>
          <w:rPr>
            <w:i/>
            <w:szCs w:val="20"/>
          </w:rPr>
          <w:id w:val="715328967"/>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b/>
          <w:i/>
          <w:sz w:val="22"/>
          <w:szCs w:val="22"/>
        </w:rPr>
        <w:t xml:space="preserve"> </w:t>
      </w:r>
      <w:r>
        <w:rPr>
          <w:b/>
          <w:i/>
          <w:sz w:val="22"/>
          <w:szCs w:val="22"/>
        </w:rPr>
        <w:tab/>
      </w:r>
      <w:r>
        <w:rPr>
          <w:b/>
          <w:i/>
          <w:sz w:val="22"/>
          <w:szCs w:val="22"/>
        </w:rPr>
        <w:tab/>
      </w:r>
      <w:r>
        <w:rPr>
          <w:b/>
          <w:i/>
          <w:sz w:val="22"/>
          <w:szCs w:val="22"/>
        </w:rPr>
        <w:tab/>
      </w:r>
      <w:r>
        <w:rPr>
          <w:b/>
          <w:i/>
          <w:sz w:val="22"/>
          <w:szCs w:val="22"/>
        </w:rPr>
        <w:tab/>
      </w:r>
      <w:r w:rsidRPr="00FA3D89">
        <w:rPr>
          <w:b/>
          <w:i/>
          <w:szCs w:val="20"/>
        </w:rPr>
        <w:t>(</w:t>
      </w:r>
      <w:r w:rsidRPr="00FA3D89">
        <w:rPr>
          <w:b/>
          <w:i/>
          <w:szCs w:val="20"/>
          <w:lang w:val="en-GB"/>
        </w:rPr>
        <w:t>CDCP Stamp and signature of CDCP employee)</w:t>
      </w:r>
    </w:p>
    <w:p w:rsidR="00FA3D89" w:rsidRPr="00F91761" w:rsidRDefault="00FA3D89" w:rsidP="00FA3D89">
      <w:pPr>
        <w:pStyle w:val="Textvysvetlivky"/>
        <w:tabs>
          <w:tab w:val="left" w:pos="3650"/>
          <w:tab w:val="left" w:pos="4290"/>
        </w:tabs>
        <w:spacing w:line="276" w:lineRule="auto"/>
        <w:ind w:firstLine="0"/>
        <w:rPr>
          <w:sz w:val="22"/>
          <w:szCs w:val="22"/>
        </w:rPr>
      </w:pPr>
      <w:r>
        <w:rPr>
          <w:b/>
          <w:i/>
          <w:szCs w:val="20"/>
        </w:rPr>
        <w:t>Telephone</w:t>
      </w:r>
      <w:r w:rsidRPr="009055F4">
        <w:rPr>
          <w:b/>
          <w:i/>
          <w:szCs w:val="20"/>
        </w:rPr>
        <w:t>/email:</w:t>
      </w:r>
      <w:r w:rsidRPr="009055F4">
        <w:rPr>
          <w:szCs w:val="20"/>
        </w:rPr>
        <w:t xml:space="preserve"> </w:t>
      </w:r>
      <w:sdt>
        <w:sdtPr>
          <w:rPr>
            <w:i/>
            <w:szCs w:val="20"/>
          </w:rPr>
          <w:id w:val="661671391"/>
          <w:showingPlcHdr/>
        </w:sdtPr>
        <w:sdtEndPr/>
        <w:sdtContent>
          <w:r w:rsidRPr="009055F4">
            <w:rPr>
              <w:rStyle w:val="Textzstupnhosymbolu"/>
              <w:i/>
              <w:color w:val="FFFFFF" w:themeColor="background1"/>
              <w:szCs w:val="20"/>
              <w:shd w:val="pct5" w:color="auto" w:fill="auto"/>
              <w14:textFill>
                <w14:noFill/>
              </w14:textFill>
            </w:rPr>
            <w:t>Kliknutím zadáte text.</w:t>
          </w:r>
        </w:sdtContent>
      </w:sdt>
      <w:r w:rsidRPr="00F91761">
        <w:rPr>
          <w:sz w:val="22"/>
          <w:szCs w:val="22"/>
        </w:rPr>
        <w:tab/>
      </w:r>
    </w:p>
    <w:p w:rsidR="00FA3D89" w:rsidRPr="002C678F" w:rsidRDefault="00FA3D89" w:rsidP="00FA3D89">
      <w:pPr>
        <w:pStyle w:val="Nadpis1"/>
        <w:spacing w:before="0" w:after="0"/>
        <w:rPr>
          <w:sz w:val="22"/>
          <w:szCs w:val="22"/>
        </w:rPr>
      </w:pPr>
    </w:p>
    <w:p w:rsidR="00FA3D89" w:rsidRPr="002C678F" w:rsidRDefault="00FA3D89" w:rsidP="00FA3D89">
      <w:pPr>
        <w:pStyle w:val="Textvysvetlivky"/>
        <w:spacing w:line="276" w:lineRule="auto"/>
        <w:rPr>
          <w:sz w:val="22"/>
          <w:szCs w:val="22"/>
        </w:rPr>
      </w:pPr>
    </w:p>
    <w:p w:rsidR="00FA3D89" w:rsidRDefault="00FA3D89" w:rsidP="00FA3D89">
      <w:pPr>
        <w:ind w:firstLine="0"/>
        <w:rPr>
          <w:b/>
          <w:szCs w:val="22"/>
        </w:rPr>
      </w:pPr>
      <w:r w:rsidRPr="00EE0114">
        <w:rPr>
          <w:b/>
          <w:szCs w:val="22"/>
        </w:rPr>
        <w:t>Klient týmto potvrdzuje prevzatie výstupu požadovanej služby v sídle CDCP dňa</w:t>
      </w:r>
      <w:r>
        <w:rPr>
          <w:b/>
          <w:szCs w:val="22"/>
        </w:rPr>
        <w:t xml:space="preserve"> </w:t>
      </w:r>
    </w:p>
    <w:p w:rsidR="00FA3D89" w:rsidRPr="00EE0114" w:rsidRDefault="00FA3D89" w:rsidP="00FA3D89">
      <w:pPr>
        <w:ind w:firstLine="0"/>
        <w:rPr>
          <w:i/>
          <w:szCs w:val="22"/>
          <w:u w:val="single"/>
        </w:rPr>
      </w:pPr>
      <w:r w:rsidRPr="00FA3D89">
        <w:rPr>
          <w:b/>
          <w:i/>
          <w:sz w:val="20"/>
          <w:szCs w:val="20"/>
        </w:rPr>
        <w:t>(</w:t>
      </w:r>
      <w:r w:rsidRPr="00FA3D89">
        <w:rPr>
          <w:b/>
          <w:i/>
          <w:sz w:val="20"/>
          <w:szCs w:val="20"/>
          <w:lang w:val="en-GB"/>
        </w:rPr>
        <w:t>The client confirms takeover of service output in the seat of CDCP on)</w:t>
      </w:r>
    </w:p>
    <w:p w:rsidR="00FA3D89" w:rsidRDefault="00FA3D89" w:rsidP="00FA3D89">
      <w:pPr>
        <w:pStyle w:val="Textvysvetlivky"/>
        <w:spacing w:line="276" w:lineRule="auto"/>
        <w:ind w:firstLine="0"/>
        <w:rPr>
          <w:b/>
          <w:sz w:val="22"/>
          <w:szCs w:val="22"/>
        </w:rPr>
      </w:pPr>
    </w:p>
    <w:p w:rsidR="002C678F" w:rsidRDefault="002C678F" w:rsidP="00FA3D89">
      <w:pPr>
        <w:pStyle w:val="Textvysvetlivky"/>
        <w:spacing w:line="276" w:lineRule="auto"/>
        <w:ind w:firstLine="0"/>
        <w:rPr>
          <w:b/>
          <w:sz w:val="22"/>
          <w:szCs w:val="22"/>
        </w:rPr>
      </w:pPr>
    </w:p>
    <w:p w:rsidR="002C678F" w:rsidRDefault="002C678F" w:rsidP="00FA3D89">
      <w:pPr>
        <w:pStyle w:val="Textvysvetlivky"/>
        <w:spacing w:line="276" w:lineRule="auto"/>
        <w:ind w:firstLine="0"/>
        <w:rPr>
          <w:b/>
          <w:sz w:val="22"/>
          <w:szCs w:val="22"/>
        </w:rPr>
      </w:pPr>
    </w:p>
    <w:p w:rsidR="00FA3D89" w:rsidRPr="00EE0114" w:rsidRDefault="00FA3D89" w:rsidP="00FA3D89">
      <w:pPr>
        <w:pStyle w:val="Textvysvetlivky"/>
        <w:spacing w:line="276" w:lineRule="auto"/>
        <w:ind w:firstLine="0"/>
        <w:rPr>
          <w:b/>
          <w:sz w:val="22"/>
          <w:szCs w:val="22"/>
        </w:rPr>
      </w:pPr>
      <w:r w:rsidRPr="00EE0114">
        <w:rPr>
          <w:b/>
          <w:noProof/>
          <w:sz w:val="22"/>
          <w:szCs w:val="22"/>
          <w:lang w:eastAsia="sk-SK"/>
        </w:rPr>
        <mc:AlternateContent>
          <mc:Choice Requires="wps">
            <w:drawing>
              <wp:anchor distT="0" distB="0" distL="114300" distR="114300" simplePos="0" relativeHeight="251668480" behindDoc="0" locked="0" layoutInCell="1" allowOverlap="1" wp14:anchorId="23573653" wp14:editId="63CBC60C">
                <wp:simplePos x="0" y="0"/>
                <wp:positionH relativeFrom="column">
                  <wp:posOffset>3810</wp:posOffset>
                </wp:positionH>
                <wp:positionV relativeFrom="paragraph">
                  <wp:posOffset>183515</wp:posOffset>
                </wp:positionV>
                <wp:extent cx="2705100" cy="0"/>
                <wp:effectExtent l="0" t="0" r="19050" b="19050"/>
                <wp:wrapNone/>
                <wp:docPr id="7" name="Rovná spojnica 7"/>
                <wp:cNvGraphicFramePr/>
                <a:graphic xmlns:a="http://schemas.openxmlformats.org/drawingml/2006/main">
                  <a:graphicData uri="http://schemas.microsoft.com/office/word/2010/wordprocessingShape">
                    <wps:wsp>
                      <wps:cNvCnPr/>
                      <wps:spPr>
                        <a:xfrm>
                          <a:off x="0" y="0"/>
                          <a:ext cx="2705100" cy="0"/>
                        </a:xfrm>
                        <a:prstGeom prst="line">
                          <a:avLst/>
                        </a:prstGeom>
                        <a:ln>
                          <a:solidFill>
                            <a:srgbClr val="4C756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Rovná spojnica 7" o:spid="_x0000_s1026" style="position:absolute;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pt,14.45pt" to="213.3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" strokecolor="#4c7563"/>
            </w:pict>
          </mc:Fallback>
        </mc:AlternateContent>
      </w:r>
    </w:p>
    <w:p w:rsidR="003A49CB" w:rsidRPr="00605B1C" w:rsidRDefault="00FA3D89" w:rsidP="00FA3D89">
      <w:pPr>
        <w:pStyle w:val="Textvysvetlivky"/>
        <w:spacing w:line="276" w:lineRule="auto"/>
        <w:ind w:firstLine="0"/>
        <w:rPr>
          <w:i/>
          <w:szCs w:val="22"/>
          <w:u w:val="single"/>
          <w:lang w:val="en-GB"/>
        </w:rPr>
        <w:sectPr w:rsidR="003A49CB" w:rsidRPr="00605B1C" w:rsidSect="002C678F">
          <w:headerReference w:type="default" r:id="rId10"/>
          <w:footerReference w:type="default" r:id="rId11"/>
          <w:headerReference w:type="first" r:id="rId12"/>
          <w:footerReference w:type="first" r:id="rId13"/>
          <w:endnotePr>
            <w:numFmt w:val="decimal"/>
          </w:endnotePr>
          <w:pgSz w:w="11906" w:h="16838"/>
          <w:pgMar w:top="993" w:right="1134" w:bottom="851" w:left="1134" w:header="567" w:footer="0" w:gutter="0"/>
          <w:cols w:space="708"/>
          <w:titlePg/>
          <w:docGrid w:linePitch="360"/>
        </w:sectPr>
      </w:pPr>
      <w:r w:rsidRPr="00FA3D89">
        <w:rPr>
          <w:b/>
          <w:szCs w:val="20"/>
          <w:lang w:val="en-GB"/>
        </w:rPr>
        <w:t>Signature of the client</w:t>
      </w:r>
      <w:r w:rsidR="009C3578" w:rsidRPr="00605B1C">
        <w:rPr>
          <w:i/>
          <w:szCs w:val="22"/>
          <w:u w:val="single"/>
          <w:lang w:val="en-GB"/>
        </w:rPr>
        <w:br w:type="page"/>
      </w:r>
    </w:p>
    <w:p w:rsidR="009C3578" w:rsidRPr="009C3578" w:rsidRDefault="00366C51" w:rsidP="009C3578">
      <w:pPr>
        <w:pStyle w:val="Textvysvetlivky"/>
        <w:spacing w:line="276" w:lineRule="auto"/>
        <w:ind w:firstLine="0"/>
        <w:rPr>
          <w:sz w:val="24"/>
        </w:rPr>
      </w:pPr>
      <w:r w:rsidRPr="00042BFC">
        <w:rPr>
          <w:b/>
          <w:i/>
          <w:sz w:val="22"/>
          <w:szCs w:val="22"/>
          <w:u w:val="single"/>
        </w:rPr>
        <w:t>INFORMATION FOR THE CLIENT</w:t>
      </w:r>
      <w:r w:rsidRPr="00750D88">
        <w:rPr>
          <w:b/>
          <w:i/>
          <w:sz w:val="22"/>
          <w:szCs w:val="22"/>
          <w:u w:val="single"/>
        </w:rPr>
        <w:t>:</w:t>
      </w:r>
    </w:p>
    <w:p w:rsidR="004B69FC" w:rsidRDefault="00366C51" w:rsidP="006F3165">
      <w:pPr>
        <w:pStyle w:val="Textvysvetlivky"/>
        <w:spacing w:before="240"/>
        <w:ind w:firstLine="0"/>
        <w:jc w:val="both"/>
        <w:rPr>
          <w:b/>
          <w:i/>
          <w:sz w:val="22"/>
        </w:rPr>
      </w:pPr>
      <w:r w:rsidRPr="00C45DE3">
        <w:rPr>
          <w:i/>
          <w:sz w:val="22"/>
          <w:szCs w:val="22"/>
          <w:lang w:val="en-GB"/>
        </w:rPr>
        <w:t>Placement of the instruc</w:t>
      </w:r>
      <w:r>
        <w:rPr>
          <w:i/>
          <w:sz w:val="22"/>
          <w:szCs w:val="22"/>
          <w:lang w:val="en-GB"/>
        </w:rPr>
        <w:t>t</w:t>
      </w:r>
      <w:r w:rsidRPr="00C45DE3">
        <w:rPr>
          <w:i/>
          <w:sz w:val="22"/>
          <w:szCs w:val="22"/>
          <w:lang w:val="en-GB"/>
        </w:rPr>
        <w:t>ion is governed by the Rules of Operation of Centrálny depozitár cenných papierov SR, a.s. (further only „the Rules of Operation“).</w:t>
      </w:r>
    </w:p>
    <w:p w:rsidR="009C3578" w:rsidRDefault="009C3578" w:rsidP="00CB60A9">
      <w:pPr>
        <w:pStyle w:val="Textvysvetlivky"/>
        <w:ind w:firstLine="0"/>
        <w:jc w:val="both"/>
        <w:rPr>
          <w:b/>
          <w:i/>
          <w:sz w:val="22"/>
        </w:rPr>
      </w:pPr>
    </w:p>
    <w:p w:rsidR="00366C51" w:rsidRPr="00C45DE3" w:rsidRDefault="00366C51" w:rsidP="00366C51">
      <w:pPr>
        <w:pStyle w:val="Textvysvetlivky"/>
        <w:ind w:firstLine="0"/>
        <w:jc w:val="both"/>
        <w:rPr>
          <w:b/>
          <w:i/>
          <w:sz w:val="22"/>
          <w:szCs w:val="22"/>
          <w:lang w:val="en-GB"/>
        </w:rPr>
      </w:pPr>
      <w:r w:rsidRPr="00C45DE3">
        <w:rPr>
          <w:b/>
          <w:i/>
          <w:sz w:val="22"/>
          <w:szCs w:val="22"/>
          <w:lang w:val="en-GB"/>
        </w:rPr>
        <w:t xml:space="preserve">Placement of the </w:t>
      </w:r>
      <w:r>
        <w:rPr>
          <w:b/>
          <w:i/>
          <w:sz w:val="22"/>
          <w:szCs w:val="22"/>
          <w:lang w:val="en-GB"/>
        </w:rPr>
        <w:t>request</w:t>
      </w:r>
      <w:r w:rsidRPr="00C45DE3">
        <w:rPr>
          <w:b/>
          <w:i/>
          <w:sz w:val="22"/>
          <w:szCs w:val="22"/>
          <w:lang w:val="en-GB"/>
        </w:rPr>
        <w:t>:</w:t>
      </w:r>
    </w:p>
    <w:p w:rsidR="00366C51" w:rsidRPr="00C45DE3" w:rsidRDefault="00366C51" w:rsidP="00366C51">
      <w:pPr>
        <w:pStyle w:val="Textvysvetlivky"/>
        <w:ind w:firstLine="0"/>
        <w:jc w:val="both"/>
        <w:rPr>
          <w:i/>
          <w:sz w:val="22"/>
          <w:szCs w:val="22"/>
          <w:lang w:val="en-GB"/>
        </w:rPr>
      </w:pPr>
      <w:r w:rsidRPr="00C45DE3">
        <w:rPr>
          <w:i/>
          <w:sz w:val="22"/>
          <w:szCs w:val="22"/>
          <w:lang w:val="en-GB"/>
        </w:rPr>
        <w:t xml:space="preserve">The </w:t>
      </w:r>
      <w:r>
        <w:rPr>
          <w:i/>
          <w:sz w:val="22"/>
          <w:szCs w:val="22"/>
          <w:lang w:val="en-GB"/>
        </w:rPr>
        <w:t>request</w:t>
      </w:r>
      <w:r w:rsidRPr="00C45DE3">
        <w:rPr>
          <w:i/>
          <w:sz w:val="22"/>
          <w:szCs w:val="22"/>
          <w:lang w:val="en-GB"/>
        </w:rPr>
        <w:t xml:space="preserve"> for </w:t>
      </w:r>
      <w:r w:rsidR="006650F8">
        <w:rPr>
          <w:i/>
          <w:sz w:val="22"/>
          <w:szCs w:val="22"/>
          <w:lang w:val="en-GB"/>
        </w:rPr>
        <w:t>change of data on legal person for which CDCP manages and account</w:t>
      </w:r>
      <w:r w:rsidRPr="00C45DE3">
        <w:rPr>
          <w:i/>
          <w:sz w:val="22"/>
          <w:szCs w:val="22"/>
          <w:lang w:val="en-GB"/>
        </w:rPr>
        <w:t xml:space="preserve"> may b</w:t>
      </w:r>
      <w:r>
        <w:rPr>
          <w:i/>
          <w:sz w:val="22"/>
          <w:szCs w:val="22"/>
          <w:lang w:val="en-GB"/>
        </w:rPr>
        <w:t>e</w:t>
      </w:r>
      <w:r w:rsidRPr="00C45DE3">
        <w:rPr>
          <w:i/>
          <w:sz w:val="22"/>
          <w:szCs w:val="22"/>
          <w:lang w:val="en-GB"/>
        </w:rPr>
        <w:t xml:space="preserve"> place</w:t>
      </w:r>
      <w:r>
        <w:rPr>
          <w:i/>
          <w:sz w:val="22"/>
          <w:szCs w:val="22"/>
          <w:lang w:val="en-GB"/>
        </w:rPr>
        <w:t>d</w:t>
      </w:r>
      <w:r w:rsidRPr="00C45DE3">
        <w:rPr>
          <w:i/>
          <w:sz w:val="22"/>
          <w:szCs w:val="22"/>
          <w:lang w:val="en-GB"/>
        </w:rPr>
        <w:t xml:space="preserve"> in person in the seat of CDCP or sent via post to CDCP address, unless the Rules of Operation</w:t>
      </w:r>
      <w:r>
        <w:rPr>
          <w:i/>
          <w:sz w:val="22"/>
          <w:szCs w:val="22"/>
          <w:lang w:val="en-GB"/>
        </w:rPr>
        <w:t xml:space="preserve"> states</w:t>
      </w:r>
      <w:r w:rsidRPr="00C45DE3">
        <w:rPr>
          <w:i/>
          <w:sz w:val="22"/>
          <w:szCs w:val="22"/>
          <w:lang w:val="en-GB"/>
        </w:rPr>
        <w:t xml:space="preserve"> differently.</w:t>
      </w:r>
      <w:r>
        <w:rPr>
          <w:i/>
          <w:sz w:val="22"/>
          <w:szCs w:val="22"/>
          <w:lang w:val="en-GB"/>
        </w:rPr>
        <w:t xml:space="preserve"> In the request the client shall state </w:t>
      </w:r>
      <w:r w:rsidRPr="00366C51">
        <w:rPr>
          <w:b/>
          <w:i/>
          <w:sz w:val="22"/>
          <w:szCs w:val="22"/>
          <w:lang w:val="en-GB"/>
        </w:rPr>
        <w:t>current data</w:t>
      </w:r>
      <w:r>
        <w:rPr>
          <w:i/>
          <w:sz w:val="22"/>
          <w:szCs w:val="22"/>
          <w:lang w:val="en-GB"/>
        </w:rPr>
        <w:t xml:space="preserve"> already registered in the Companies Registry.</w:t>
      </w:r>
    </w:p>
    <w:p w:rsidR="00450710" w:rsidRDefault="00450710" w:rsidP="00CB60A9">
      <w:pPr>
        <w:pStyle w:val="Textvysvetlivky"/>
        <w:ind w:firstLine="0"/>
        <w:jc w:val="both"/>
        <w:rPr>
          <w:i/>
          <w:sz w:val="22"/>
        </w:rPr>
      </w:pPr>
    </w:p>
    <w:p w:rsidR="00450710" w:rsidRPr="006650F8" w:rsidRDefault="006650F8" w:rsidP="00CB60A9">
      <w:pPr>
        <w:pStyle w:val="Textvysvetlivky"/>
        <w:ind w:firstLine="0"/>
        <w:jc w:val="both"/>
        <w:rPr>
          <w:b/>
          <w:i/>
          <w:sz w:val="22"/>
          <w:u w:val="single"/>
          <w:lang w:val="en-GB"/>
        </w:rPr>
      </w:pPr>
      <w:r w:rsidRPr="006650F8">
        <w:rPr>
          <w:b/>
          <w:i/>
          <w:sz w:val="22"/>
          <w:u w:val="single"/>
          <w:lang w:val="en-GB"/>
        </w:rPr>
        <w:t>Signature of the client (of persons auth</w:t>
      </w:r>
      <w:r w:rsidR="0000039D">
        <w:rPr>
          <w:b/>
          <w:i/>
          <w:sz w:val="22"/>
          <w:u w:val="single"/>
          <w:lang w:val="en-GB"/>
        </w:rPr>
        <w:t xml:space="preserve">orised </w:t>
      </w:r>
      <w:r w:rsidRPr="006650F8">
        <w:rPr>
          <w:b/>
          <w:i/>
          <w:sz w:val="22"/>
          <w:u w:val="single"/>
          <w:lang w:val="en-GB"/>
        </w:rPr>
        <w:t>t</w:t>
      </w:r>
      <w:r w:rsidR="0000039D">
        <w:rPr>
          <w:b/>
          <w:i/>
          <w:sz w:val="22"/>
          <w:u w:val="single"/>
          <w:lang w:val="en-GB"/>
        </w:rPr>
        <w:t>o</w:t>
      </w:r>
      <w:r w:rsidRPr="006650F8">
        <w:rPr>
          <w:b/>
          <w:i/>
          <w:sz w:val="22"/>
          <w:u w:val="single"/>
          <w:lang w:val="en-GB"/>
        </w:rPr>
        <w:t xml:space="preserve"> act on behalf of the client) must be of</w:t>
      </w:r>
      <w:r>
        <w:rPr>
          <w:b/>
          <w:i/>
          <w:sz w:val="22"/>
          <w:u w:val="single"/>
          <w:lang w:val="en-GB"/>
        </w:rPr>
        <w:t>fi</w:t>
      </w:r>
      <w:r w:rsidRPr="006650F8">
        <w:rPr>
          <w:b/>
          <w:i/>
          <w:sz w:val="22"/>
          <w:u w:val="single"/>
          <w:lang w:val="en-GB"/>
        </w:rPr>
        <w:t>cially verified if the instruction is sent via post to CDCP a</w:t>
      </w:r>
      <w:r>
        <w:rPr>
          <w:b/>
          <w:i/>
          <w:sz w:val="22"/>
          <w:u w:val="single"/>
          <w:lang w:val="en-GB"/>
        </w:rPr>
        <w:t>dd</w:t>
      </w:r>
      <w:r w:rsidRPr="006650F8">
        <w:rPr>
          <w:b/>
          <w:i/>
          <w:sz w:val="22"/>
          <w:u w:val="single"/>
          <w:lang w:val="en-GB"/>
        </w:rPr>
        <w:t>ress or submitted in person to CDCP mail room.</w:t>
      </w:r>
    </w:p>
    <w:p w:rsidR="00CB60A9" w:rsidRDefault="00CB60A9" w:rsidP="00CB60A9">
      <w:pPr>
        <w:pStyle w:val="Textvysvetlivky"/>
        <w:jc w:val="both"/>
        <w:rPr>
          <w:i/>
          <w:sz w:val="22"/>
        </w:rPr>
      </w:pPr>
    </w:p>
    <w:p w:rsidR="003522DC" w:rsidRPr="006650F8" w:rsidRDefault="006650F8" w:rsidP="003522DC">
      <w:pPr>
        <w:pStyle w:val="Textvysvetlivky"/>
        <w:ind w:firstLine="0"/>
        <w:jc w:val="both"/>
        <w:rPr>
          <w:i/>
          <w:sz w:val="22"/>
          <w:lang w:val="en-GB"/>
        </w:rPr>
      </w:pPr>
      <w:r w:rsidRPr="006650F8">
        <w:rPr>
          <w:i/>
          <w:sz w:val="22"/>
          <w:lang w:val="en-GB"/>
        </w:rPr>
        <w:t>The client is obliged to submit, along with the request, the documents proving the requested change. In case the person for whom the account is managed by CDCP does not prove the requ</w:t>
      </w:r>
      <w:r>
        <w:rPr>
          <w:i/>
          <w:sz w:val="22"/>
          <w:lang w:val="en-GB"/>
        </w:rPr>
        <w:t>i</w:t>
      </w:r>
      <w:r w:rsidRPr="006650F8">
        <w:rPr>
          <w:i/>
          <w:sz w:val="22"/>
          <w:lang w:val="en-GB"/>
        </w:rPr>
        <w:t>red change of personal data sufficiently an unambiguously, CDCP shall not make the required change.</w:t>
      </w:r>
    </w:p>
    <w:p w:rsidR="003522DC" w:rsidRPr="006650F8" w:rsidRDefault="003522DC" w:rsidP="00CB60A9">
      <w:pPr>
        <w:pStyle w:val="Textvysvetlivky"/>
        <w:jc w:val="both"/>
        <w:rPr>
          <w:i/>
          <w:sz w:val="22"/>
          <w:lang w:val="en-GB"/>
        </w:rPr>
      </w:pPr>
    </w:p>
    <w:p w:rsidR="00366C51" w:rsidRPr="00FC48C5" w:rsidRDefault="00366C51" w:rsidP="00366C51">
      <w:pPr>
        <w:pStyle w:val="Textvysvetlivky"/>
        <w:ind w:firstLine="0"/>
        <w:jc w:val="both"/>
        <w:rPr>
          <w:b/>
          <w:i/>
          <w:sz w:val="22"/>
          <w:szCs w:val="22"/>
          <w:lang w:val="en-GB"/>
        </w:rPr>
      </w:pPr>
      <w:r w:rsidRPr="00FC48C5">
        <w:rPr>
          <w:b/>
          <w:i/>
          <w:sz w:val="22"/>
          <w:szCs w:val="22"/>
          <w:lang w:val="en-GB"/>
        </w:rPr>
        <w:t>All enclosed documents must be original or certified copy. Enclosure</w:t>
      </w:r>
      <w:r>
        <w:rPr>
          <w:b/>
          <w:i/>
          <w:sz w:val="22"/>
          <w:szCs w:val="22"/>
          <w:lang w:val="en-GB"/>
        </w:rPr>
        <w:t>s</w:t>
      </w:r>
      <w:r w:rsidRPr="00FC48C5">
        <w:rPr>
          <w:b/>
          <w:i/>
          <w:sz w:val="22"/>
          <w:szCs w:val="22"/>
          <w:lang w:val="en-GB"/>
        </w:rPr>
        <w:t xml:space="preserve"> to the instruction are primarily: </w:t>
      </w:r>
    </w:p>
    <w:p w:rsidR="00366C51" w:rsidRPr="00FC48C5" w:rsidRDefault="00366C51" w:rsidP="0007586A">
      <w:pPr>
        <w:pStyle w:val="Textvysvetlivky"/>
        <w:numPr>
          <w:ilvl w:val="0"/>
          <w:numId w:val="4"/>
        </w:numPr>
        <w:jc w:val="both"/>
        <w:rPr>
          <w:i/>
          <w:sz w:val="22"/>
          <w:szCs w:val="22"/>
          <w:lang w:val="en-GB"/>
        </w:rPr>
      </w:pPr>
      <w:r w:rsidRPr="00FC48C5">
        <w:rPr>
          <w:i/>
          <w:sz w:val="22"/>
          <w:szCs w:val="22"/>
          <w:lang w:val="en-GB"/>
        </w:rPr>
        <w:t>extract from the Companie</w:t>
      </w:r>
      <w:r>
        <w:rPr>
          <w:i/>
          <w:sz w:val="22"/>
          <w:szCs w:val="22"/>
          <w:lang w:val="en-GB"/>
        </w:rPr>
        <w:t>s</w:t>
      </w:r>
      <w:r w:rsidRPr="00FC48C5">
        <w:rPr>
          <w:i/>
          <w:sz w:val="22"/>
          <w:szCs w:val="22"/>
          <w:lang w:val="en-GB"/>
        </w:rPr>
        <w:t xml:space="preserve"> s register (not older than 3 month) i</w:t>
      </w:r>
      <w:r>
        <w:rPr>
          <w:i/>
          <w:sz w:val="22"/>
          <w:szCs w:val="22"/>
          <w:lang w:val="en-GB"/>
        </w:rPr>
        <w:t>f</w:t>
      </w:r>
      <w:r w:rsidRPr="00FC48C5">
        <w:rPr>
          <w:i/>
          <w:sz w:val="22"/>
          <w:szCs w:val="22"/>
          <w:lang w:val="en-GB"/>
        </w:rPr>
        <w:t xml:space="preserve"> the client is a legal person</w:t>
      </w:r>
    </w:p>
    <w:p w:rsidR="00CB60A9" w:rsidRPr="00CB60A9" w:rsidRDefault="00366C51" w:rsidP="0007586A">
      <w:pPr>
        <w:pStyle w:val="Textvysvetlivky"/>
        <w:numPr>
          <w:ilvl w:val="0"/>
          <w:numId w:val="4"/>
        </w:numPr>
        <w:jc w:val="both"/>
        <w:rPr>
          <w:i/>
          <w:sz w:val="22"/>
        </w:rPr>
      </w:pPr>
      <w:r w:rsidRPr="00432D45">
        <w:rPr>
          <w:i/>
          <w:sz w:val="22"/>
          <w:szCs w:val="22"/>
          <w:lang w:val="en-GB"/>
        </w:rPr>
        <w:t>Other document pursuant to the Rules of Operation of CDCP.</w:t>
      </w:r>
      <w:r w:rsidR="00CB60A9" w:rsidRPr="00CB60A9">
        <w:rPr>
          <w:i/>
          <w:sz w:val="22"/>
        </w:rPr>
        <w:t xml:space="preserve"> </w:t>
      </w:r>
    </w:p>
    <w:p w:rsidR="00CB60A9" w:rsidRPr="00CB60A9" w:rsidRDefault="00CB60A9" w:rsidP="00CB60A9">
      <w:pPr>
        <w:pStyle w:val="Textvysvetlivky"/>
        <w:jc w:val="both"/>
        <w:rPr>
          <w:i/>
          <w:sz w:val="22"/>
        </w:rPr>
      </w:pPr>
    </w:p>
    <w:p w:rsidR="00366C51" w:rsidRPr="00432D45" w:rsidRDefault="00366C51" w:rsidP="00366C51">
      <w:pPr>
        <w:pStyle w:val="Textvysvetlivky"/>
        <w:ind w:firstLine="0"/>
        <w:jc w:val="both"/>
        <w:rPr>
          <w:b/>
          <w:i/>
          <w:sz w:val="22"/>
          <w:szCs w:val="22"/>
          <w:lang w:val="en-GB"/>
        </w:rPr>
      </w:pPr>
      <w:r w:rsidRPr="00432D45">
        <w:rPr>
          <w:b/>
          <w:i/>
          <w:sz w:val="22"/>
          <w:szCs w:val="22"/>
          <w:lang w:val="en-GB"/>
        </w:rPr>
        <w:t>Acting of authorised/ac</w:t>
      </w:r>
      <w:r>
        <w:rPr>
          <w:b/>
          <w:i/>
          <w:sz w:val="22"/>
          <w:szCs w:val="22"/>
          <w:lang w:val="en-GB"/>
        </w:rPr>
        <w:t>c</w:t>
      </w:r>
      <w:r w:rsidRPr="00432D45">
        <w:rPr>
          <w:b/>
          <w:i/>
          <w:sz w:val="22"/>
          <w:szCs w:val="22"/>
          <w:lang w:val="en-GB"/>
        </w:rPr>
        <w:t>redited person:</w:t>
      </w:r>
    </w:p>
    <w:p w:rsidR="00366C51" w:rsidRPr="00432D45" w:rsidRDefault="00366C51" w:rsidP="00366C51">
      <w:pPr>
        <w:pStyle w:val="Textvysvetlivky"/>
        <w:ind w:firstLine="0"/>
        <w:jc w:val="both"/>
        <w:rPr>
          <w:i/>
          <w:sz w:val="22"/>
          <w:szCs w:val="22"/>
          <w:lang w:val="en-GB"/>
        </w:rPr>
      </w:pPr>
      <w:r w:rsidRPr="00432D45">
        <w:rPr>
          <w:i/>
          <w:sz w:val="22"/>
          <w:szCs w:val="22"/>
          <w:lang w:val="en-GB"/>
        </w:rPr>
        <w:t>If the instruction is placed by an authorised/a</w:t>
      </w:r>
      <w:r>
        <w:rPr>
          <w:i/>
          <w:sz w:val="22"/>
          <w:szCs w:val="22"/>
          <w:lang w:val="en-GB"/>
        </w:rPr>
        <w:t>c</w:t>
      </w:r>
      <w:r w:rsidRPr="00432D45">
        <w:rPr>
          <w:i/>
          <w:sz w:val="22"/>
          <w:szCs w:val="22"/>
          <w:lang w:val="en-GB"/>
        </w:rPr>
        <w:t>credited person, to demonstrate authorisation to act it is necessary to meet specific requirements defined in the Rul</w:t>
      </w:r>
      <w:r>
        <w:rPr>
          <w:i/>
          <w:sz w:val="22"/>
          <w:szCs w:val="22"/>
          <w:lang w:val="en-GB"/>
        </w:rPr>
        <w:t>e</w:t>
      </w:r>
      <w:r w:rsidRPr="00432D45">
        <w:rPr>
          <w:i/>
          <w:sz w:val="22"/>
          <w:szCs w:val="22"/>
          <w:lang w:val="en-GB"/>
        </w:rPr>
        <w:t>s of Operation of Centrálny depozitár cenných papierov SR, a.s. Required is mainly: In case of natural person it is necessary to submit a Power of Attorney with verified signatures of relevant representat</w:t>
      </w:r>
      <w:r>
        <w:rPr>
          <w:i/>
          <w:sz w:val="22"/>
          <w:szCs w:val="22"/>
          <w:lang w:val="en-GB"/>
        </w:rPr>
        <w:t>ive</w:t>
      </w:r>
      <w:r w:rsidRPr="00432D45">
        <w:rPr>
          <w:i/>
          <w:sz w:val="22"/>
          <w:szCs w:val="22"/>
          <w:lang w:val="en-GB"/>
        </w:rPr>
        <w:t xml:space="preserve">s of </w:t>
      </w:r>
      <w:r>
        <w:rPr>
          <w:i/>
          <w:sz w:val="22"/>
          <w:szCs w:val="22"/>
          <w:lang w:val="en-GB"/>
        </w:rPr>
        <w:t xml:space="preserve">the </w:t>
      </w:r>
      <w:r w:rsidRPr="00432D45">
        <w:rPr>
          <w:i/>
          <w:sz w:val="22"/>
          <w:szCs w:val="22"/>
          <w:lang w:val="en-GB"/>
        </w:rPr>
        <w:t>statutory body (which is in time sequence with regard to submitted extract from the Companies register as the primary document). In case the empowered person is a legal person, it is necessary to submit also an extract from the Companies register for the empowered person, which has equal attributes as applicable to the client. Further details are specified in the Rules of Operation of Centrálny depozitár cenných papierov SR, a.s.</w:t>
      </w:r>
    </w:p>
    <w:p w:rsidR="00366C51" w:rsidRPr="00432D45" w:rsidRDefault="00366C51" w:rsidP="00366C51">
      <w:pPr>
        <w:pStyle w:val="Textvysvetlivky"/>
        <w:ind w:firstLine="0"/>
        <w:jc w:val="both"/>
        <w:rPr>
          <w:i/>
          <w:sz w:val="22"/>
          <w:szCs w:val="22"/>
          <w:lang w:val="en-GB"/>
        </w:rPr>
      </w:pPr>
    </w:p>
    <w:p w:rsidR="00CB60A9" w:rsidRPr="00CB60A9" w:rsidRDefault="00366C51" w:rsidP="00366C51">
      <w:pPr>
        <w:pStyle w:val="Textvysvetlivky"/>
        <w:ind w:firstLine="0"/>
        <w:jc w:val="both"/>
        <w:rPr>
          <w:i/>
          <w:sz w:val="22"/>
        </w:rPr>
      </w:pPr>
      <w:r w:rsidRPr="00432D45">
        <w:rPr>
          <w:i/>
          <w:sz w:val="22"/>
          <w:szCs w:val="22"/>
          <w:lang w:val="en-GB"/>
        </w:rPr>
        <w:t>In case the client is foreig</w:t>
      </w:r>
      <w:r>
        <w:rPr>
          <w:i/>
          <w:sz w:val="22"/>
          <w:szCs w:val="22"/>
          <w:lang w:val="en-GB"/>
        </w:rPr>
        <w:t>n</w:t>
      </w:r>
      <w:r w:rsidRPr="00432D45">
        <w:rPr>
          <w:i/>
          <w:sz w:val="22"/>
          <w:szCs w:val="22"/>
          <w:lang w:val="en-GB"/>
        </w:rPr>
        <w:t xml:space="preserve"> entity, it is necessary to submit documents evidencing its existence and identification in scope applicable to an entity from SR, including relevant verification clauses (according to international agreements, Hag</w:t>
      </w:r>
      <w:r>
        <w:rPr>
          <w:i/>
          <w:sz w:val="22"/>
          <w:szCs w:val="22"/>
          <w:lang w:val="en-GB"/>
        </w:rPr>
        <w:t>ue</w:t>
      </w:r>
      <w:r w:rsidRPr="00432D45">
        <w:rPr>
          <w:i/>
          <w:sz w:val="22"/>
          <w:szCs w:val="22"/>
          <w:lang w:val="en-GB"/>
        </w:rPr>
        <w:t xml:space="preserve"> Convention, super</w:t>
      </w:r>
      <w:r>
        <w:rPr>
          <w:i/>
          <w:sz w:val="22"/>
          <w:szCs w:val="22"/>
          <w:lang w:val="en-GB"/>
        </w:rPr>
        <w:t>-</w:t>
      </w:r>
      <w:r w:rsidRPr="00432D45">
        <w:rPr>
          <w:i/>
          <w:sz w:val="22"/>
          <w:szCs w:val="22"/>
          <w:lang w:val="en-GB"/>
        </w:rPr>
        <w:t>legalisation procedures) and translations of the documents and verification clauses to the Slovak language.</w:t>
      </w:r>
    </w:p>
    <w:p w:rsidR="00CB60A9" w:rsidRDefault="00CB60A9" w:rsidP="001A7506">
      <w:pPr>
        <w:ind w:firstLine="0"/>
        <w:rPr>
          <w:b/>
        </w:rPr>
      </w:pPr>
    </w:p>
    <w:p w:rsidR="0000039D" w:rsidRDefault="0000039D" w:rsidP="001A7506">
      <w:pPr>
        <w:ind w:firstLine="0"/>
        <w:rPr>
          <w:b/>
        </w:rPr>
      </w:pPr>
    </w:p>
    <w:p w:rsidR="0002026C" w:rsidRDefault="0002026C" w:rsidP="00366C51">
      <w:pPr>
        <w:ind w:firstLine="0"/>
        <w:rPr>
          <w:b/>
          <w:szCs w:val="22"/>
          <w:lang w:val="en-GB"/>
        </w:rPr>
      </w:pPr>
    </w:p>
    <w:p w:rsidR="00520BBF" w:rsidRDefault="00366C51" w:rsidP="00366C51">
      <w:pPr>
        <w:ind w:firstLine="0"/>
        <w:rPr>
          <w:b/>
          <w:szCs w:val="22"/>
          <w:lang w:val="en-GB"/>
        </w:rPr>
      </w:pPr>
      <w:r w:rsidRPr="000A6CD0">
        <w:rPr>
          <w:b/>
          <w:szCs w:val="22"/>
          <w:lang w:val="en-GB"/>
        </w:rPr>
        <w:t>Explanatory:</w:t>
      </w:r>
    </w:p>
    <w:p w:rsidR="0002026C" w:rsidRPr="00CB60A9" w:rsidRDefault="0002026C" w:rsidP="00366C51">
      <w:pPr>
        <w:ind w:firstLine="0"/>
        <w:rPr>
          <w:b/>
        </w:rPr>
      </w:pPr>
    </w:p>
    <w:sectPr w:rsidR="0002026C" w:rsidRPr="00CB60A9" w:rsidSect="00692CB3">
      <w:footerReference w:type="default" r:id="rId14"/>
      <w:headerReference w:type="first" r:id="rId15"/>
      <w:footerReference w:type="first" r:id="rId16"/>
      <w:endnotePr>
        <w:numFmt w:val="decimal"/>
      </w:endnotePr>
      <w:pgSz w:w="11906" w:h="16838"/>
      <w:pgMar w:top="1134" w:right="1134" w:bottom="1134" w:left="1134" w:header="567" w:footer="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7681" w:rsidRDefault="00CD7681" w:rsidP="00540D75">
      <w:r>
        <w:separator/>
      </w:r>
    </w:p>
  </w:endnote>
  <w:endnote w:type="continuationSeparator" w:id="0">
    <w:p w:rsidR="00CD7681" w:rsidRDefault="00CD7681" w:rsidP="00540D75">
      <w:r>
        <w:continuationSeparator/>
      </w:r>
    </w:p>
  </w:endnote>
  <w:endnote w:id="1">
    <w:p w:rsidR="00CD7681" w:rsidRDefault="00CD7681" w:rsidP="00CC2D6F">
      <w:pPr>
        <w:pStyle w:val="Textvysvetlivky"/>
        <w:spacing w:line="276" w:lineRule="auto"/>
        <w:ind w:firstLine="0"/>
        <w:jc w:val="both"/>
      </w:pPr>
      <w:r>
        <w:rPr>
          <w:rStyle w:val="Odkaznavysvetlivku"/>
        </w:rPr>
        <w:endnoteRef/>
      </w:r>
      <w:r>
        <w:t xml:space="preserve"> </w:t>
      </w:r>
      <w:r w:rsidRPr="000A6CD0">
        <w:rPr>
          <w:lang w:val="en-GB"/>
        </w:rPr>
        <w:t>Fill in the address – street, number of b</w:t>
      </w:r>
      <w:r>
        <w:rPr>
          <w:lang w:val="en-GB"/>
        </w:rPr>
        <w:t>u</w:t>
      </w:r>
      <w:r w:rsidRPr="000A6CD0">
        <w:rPr>
          <w:lang w:val="en-GB"/>
        </w:rPr>
        <w:t>ilding, postal code, town, country.</w:t>
      </w:r>
    </w:p>
    <w:p w:rsidR="00CD7681" w:rsidRPr="007B0870" w:rsidRDefault="00CD7681" w:rsidP="00CC2D6F">
      <w:pPr>
        <w:pStyle w:val="Textvysvetlivky"/>
        <w:spacing w:line="276" w:lineRule="auto"/>
        <w:ind w:firstLine="0"/>
        <w:jc w:val="both"/>
        <w:rPr>
          <w:sz w:val="8"/>
          <w:szCs w:val="8"/>
        </w:rPr>
      </w:pPr>
    </w:p>
  </w:endnote>
  <w:endnote w:id="2">
    <w:p w:rsidR="00CD7681" w:rsidRDefault="00CD7681" w:rsidP="00DC6F8B">
      <w:pPr>
        <w:pStyle w:val="Textvysvetlivky"/>
        <w:spacing w:line="276" w:lineRule="auto"/>
        <w:ind w:left="142" w:hanging="142"/>
        <w:jc w:val="both"/>
        <w:rPr>
          <w:lang w:val="en-GB"/>
        </w:rPr>
      </w:pPr>
      <w:r w:rsidRPr="001938E9">
        <w:rPr>
          <w:rStyle w:val="Odkaznavysvetlivku"/>
          <w:szCs w:val="20"/>
        </w:rPr>
        <w:endnoteRef/>
      </w:r>
      <w:r w:rsidRPr="001938E9">
        <w:rPr>
          <w:szCs w:val="20"/>
        </w:rPr>
        <w:t xml:space="preserve"> </w:t>
      </w:r>
      <w:r w:rsidRPr="000A6CD0">
        <w:rPr>
          <w:lang w:val="en-GB"/>
        </w:rPr>
        <w:t>Fill in the address – street, number of b</w:t>
      </w:r>
      <w:r>
        <w:rPr>
          <w:lang w:val="en-GB"/>
        </w:rPr>
        <w:t>u</w:t>
      </w:r>
      <w:r w:rsidRPr="000A6CD0">
        <w:rPr>
          <w:lang w:val="en-GB"/>
        </w:rPr>
        <w:t>ilding, postal code, town, country.</w:t>
      </w:r>
    </w:p>
    <w:p w:rsidR="00CD7681" w:rsidRPr="007B0870" w:rsidRDefault="00CD7681" w:rsidP="00DC6F8B">
      <w:pPr>
        <w:pStyle w:val="Textvysvetlivky"/>
        <w:spacing w:line="276" w:lineRule="auto"/>
        <w:ind w:left="142" w:hanging="142"/>
        <w:jc w:val="both"/>
        <w:rPr>
          <w:sz w:val="8"/>
          <w:szCs w:val="8"/>
        </w:rPr>
      </w:pPr>
    </w:p>
  </w:endnote>
  <w:endnote w:id="3">
    <w:p w:rsidR="00CD7681" w:rsidRDefault="00CD7681"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CD7681" w:rsidRPr="007B0870" w:rsidRDefault="00CD7681" w:rsidP="00CC2D6F">
      <w:pPr>
        <w:pStyle w:val="Textvysvetlivky"/>
        <w:spacing w:line="276" w:lineRule="auto"/>
        <w:ind w:left="142" w:hanging="142"/>
        <w:jc w:val="both"/>
        <w:rPr>
          <w:sz w:val="8"/>
          <w:szCs w:val="8"/>
        </w:rPr>
      </w:pPr>
    </w:p>
  </w:endnote>
  <w:endnote w:id="4">
    <w:p w:rsidR="00CD7681" w:rsidRPr="00366C51" w:rsidRDefault="00CD7681" w:rsidP="00CD7681">
      <w:pPr>
        <w:pStyle w:val="Textvysvetlivky"/>
        <w:ind w:firstLine="0"/>
        <w:rPr>
          <w:lang w:val="en-GB"/>
        </w:rPr>
      </w:pPr>
      <w:r w:rsidRPr="00366C51">
        <w:rPr>
          <w:rStyle w:val="Odkaznavysvetlivku"/>
          <w:lang w:val="en-GB"/>
        </w:rPr>
        <w:endnoteRef/>
      </w:r>
      <w:r w:rsidRPr="00366C51">
        <w:rPr>
          <w:lang w:val="en-GB"/>
        </w:rPr>
        <w:t xml:space="preserve"> The client provides only current changed data.</w:t>
      </w:r>
    </w:p>
    <w:p w:rsidR="00CD7681" w:rsidRPr="00CD4D13" w:rsidRDefault="00CD7681" w:rsidP="00CD7681">
      <w:pPr>
        <w:pStyle w:val="Textvysvetlivky"/>
        <w:ind w:firstLine="0"/>
        <w:rPr>
          <w:sz w:val="8"/>
          <w:szCs w:val="8"/>
        </w:rPr>
      </w:pPr>
    </w:p>
  </w:endnote>
  <w:endnote w:id="5">
    <w:p w:rsidR="00CD7681" w:rsidRDefault="00CD7681" w:rsidP="00CC2D6F">
      <w:pPr>
        <w:pStyle w:val="Textvysvetlivky"/>
        <w:spacing w:line="276" w:lineRule="auto"/>
        <w:ind w:firstLine="0"/>
        <w:jc w:val="both"/>
      </w:pPr>
      <w:r>
        <w:rPr>
          <w:rStyle w:val="Odkaznavysvetlivku"/>
        </w:rPr>
        <w:endnoteRef/>
      </w:r>
      <w:r>
        <w:t xml:space="preserve"> </w:t>
      </w:r>
      <w:r w:rsidRPr="000A6CD0">
        <w:rPr>
          <w:lang w:val="en-GB"/>
        </w:rPr>
        <w:t>Fill in the address – street, number of b</w:t>
      </w:r>
      <w:r>
        <w:rPr>
          <w:lang w:val="en-GB"/>
        </w:rPr>
        <w:t>u</w:t>
      </w:r>
      <w:r w:rsidRPr="000A6CD0">
        <w:rPr>
          <w:lang w:val="en-GB"/>
        </w:rPr>
        <w:t>ilding, postal code, town, country.</w:t>
      </w:r>
    </w:p>
    <w:p w:rsidR="00CD7681" w:rsidRPr="007B0870" w:rsidRDefault="00CD7681" w:rsidP="00CC2D6F">
      <w:pPr>
        <w:pStyle w:val="Textvysvetlivky"/>
        <w:spacing w:line="276" w:lineRule="auto"/>
        <w:ind w:firstLine="0"/>
        <w:jc w:val="both"/>
        <w:rPr>
          <w:sz w:val="8"/>
          <w:szCs w:val="8"/>
        </w:rPr>
      </w:pPr>
    </w:p>
  </w:endnote>
  <w:endnote w:id="6">
    <w:p w:rsidR="00CD7681" w:rsidRDefault="00CD7681" w:rsidP="00DC6F8B">
      <w:pPr>
        <w:pStyle w:val="Textvysvetlivky"/>
        <w:spacing w:line="276" w:lineRule="auto"/>
        <w:ind w:left="142" w:hanging="142"/>
        <w:jc w:val="both"/>
        <w:rPr>
          <w:lang w:val="en-GB"/>
        </w:rPr>
      </w:pPr>
      <w:r w:rsidRPr="001938E9">
        <w:rPr>
          <w:rStyle w:val="Odkaznavysvetlivku"/>
          <w:szCs w:val="20"/>
        </w:rPr>
        <w:endnoteRef/>
      </w:r>
      <w:r w:rsidRPr="001938E9">
        <w:rPr>
          <w:szCs w:val="20"/>
        </w:rPr>
        <w:t xml:space="preserve"> </w:t>
      </w:r>
      <w:r w:rsidRPr="000A6CD0">
        <w:rPr>
          <w:lang w:val="en-GB"/>
        </w:rPr>
        <w:t>Fill in the address – street, number of b</w:t>
      </w:r>
      <w:r>
        <w:rPr>
          <w:lang w:val="en-GB"/>
        </w:rPr>
        <w:t>u</w:t>
      </w:r>
      <w:r w:rsidRPr="000A6CD0">
        <w:rPr>
          <w:lang w:val="en-GB"/>
        </w:rPr>
        <w:t>ilding, postal code, town, country.</w:t>
      </w:r>
    </w:p>
    <w:p w:rsidR="00CD7681" w:rsidRPr="007B0870" w:rsidRDefault="00CD7681" w:rsidP="00DC6F8B">
      <w:pPr>
        <w:pStyle w:val="Textvysvetlivky"/>
        <w:spacing w:line="276" w:lineRule="auto"/>
        <w:ind w:left="142" w:hanging="142"/>
        <w:jc w:val="both"/>
        <w:rPr>
          <w:sz w:val="8"/>
          <w:szCs w:val="8"/>
        </w:rPr>
      </w:pPr>
    </w:p>
  </w:endnote>
  <w:endnote w:id="7">
    <w:p w:rsidR="00CD7681" w:rsidRDefault="00CD7681" w:rsidP="00CC2D6F">
      <w:pPr>
        <w:pStyle w:val="Textvysvetlivky"/>
        <w:spacing w:line="276" w:lineRule="auto"/>
        <w:ind w:left="142" w:hanging="142"/>
        <w:jc w:val="both"/>
      </w:pPr>
      <w:r>
        <w:rPr>
          <w:rStyle w:val="Odkaznavysvetlivku"/>
        </w:rPr>
        <w:endnoteRef/>
      </w:r>
      <w:r>
        <w:t xml:space="preserve"> </w:t>
      </w:r>
      <w:r w:rsidRPr="000A6CD0">
        <w:rPr>
          <w:lang w:val="en-GB"/>
        </w:rPr>
        <w:t>Tax ID assigned by relevant authority in a country of tax residence.</w:t>
      </w:r>
    </w:p>
    <w:p w:rsidR="00CD7681" w:rsidRPr="007B0870" w:rsidRDefault="00CD7681" w:rsidP="00CC2D6F">
      <w:pPr>
        <w:pStyle w:val="Textvysvetlivky"/>
        <w:spacing w:line="276" w:lineRule="auto"/>
        <w:ind w:left="142" w:hanging="142"/>
        <w:jc w:val="both"/>
        <w:rPr>
          <w:sz w:val="8"/>
          <w:szCs w:val="8"/>
        </w:rPr>
      </w:pPr>
    </w:p>
  </w:endnote>
  <w:endnote w:id="8">
    <w:p w:rsidR="00CD7681" w:rsidRPr="00EB48E4" w:rsidRDefault="00CD7681" w:rsidP="00EB48E4">
      <w:pPr>
        <w:pStyle w:val="Textvysvetlivky"/>
        <w:ind w:left="142" w:hanging="142"/>
        <w:jc w:val="both"/>
        <w:rPr>
          <w:szCs w:val="20"/>
          <w:lang w:val="en-GB"/>
        </w:rPr>
      </w:pPr>
      <w:r>
        <w:rPr>
          <w:rStyle w:val="Odkaznavysvetlivku"/>
        </w:rPr>
        <w:endnoteRef/>
      </w:r>
      <w:r>
        <w:t xml:space="preserve"> </w:t>
      </w:r>
      <w:r w:rsidRPr="00BD061D">
        <w:rPr>
          <w:b/>
          <w:u w:val="single"/>
          <w:lang w:val="en-GB"/>
        </w:rPr>
        <w:t>The client is obliged to complete the statutory decla</w:t>
      </w:r>
      <w:r>
        <w:rPr>
          <w:b/>
          <w:u w:val="single"/>
          <w:lang w:val="en-GB"/>
        </w:rPr>
        <w:t>r</w:t>
      </w:r>
      <w:r w:rsidRPr="00BD061D">
        <w:rPr>
          <w:b/>
          <w:u w:val="single"/>
          <w:lang w:val="en-GB"/>
        </w:rPr>
        <w:t>ation only in case that CDCP is administering an owner’s account for him.</w:t>
      </w:r>
      <w:r w:rsidRPr="00BD061D">
        <w:rPr>
          <w:lang w:val="en-GB"/>
        </w:rPr>
        <w:t xml:space="preserve"> </w:t>
      </w:r>
      <w:r w:rsidRPr="00BD061D">
        <w:rPr>
          <w:szCs w:val="20"/>
          <w:lang w:val="en-GB"/>
        </w:rPr>
        <w:t xml:space="preserve">The statutory declaration is required by CDCP for purpose of finding and proving of tax status of the client in order to meet obligations resulting from the act 359/2015 Coll. on automatic exchange of information on financial accounts for purpose of tax administration and on supplementing and amending certain acts, Decree of the Ministry of Finance of the Slovak Republic 446/2015 Coll. setting details on review of financial accounts by reporting financial institution and obligations resulting from the Agreement between the Slovak Republic and the United States of </w:t>
      </w:r>
      <w:r w:rsidRPr="00EB48E4">
        <w:rPr>
          <w:szCs w:val="20"/>
          <w:lang w:val="en-GB"/>
        </w:rPr>
        <w:t>America to Improve International Tax Compliance and to Implement FATCA.</w:t>
      </w:r>
    </w:p>
    <w:p w:rsidR="00CD7681" w:rsidRPr="00EB48E4" w:rsidRDefault="00CD7681" w:rsidP="00EB48E4">
      <w:pPr>
        <w:pStyle w:val="Textvysvetlivky"/>
        <w:ind w:left="142" w:hanging="142"/>
        <w:jc w:val="both"/>
        <w:rPr>
          <w:sz w:val="8"/>
          <w:szCs w:val="8"/>
          <w:lang w:val="en-GB"/>
        </w:rPr>
      </w:pPr>
    </w:p>
    <w:p w:rsidR="00CD7681" w:rsidRPr="00EB48E4" w:rsidRDefault="00CD7681" w:rsidP="00EB48E4">
      <w:pPr>
        <w:pStyle w:val="Textvysvetlivky"/>
        <w:ind w:left="142" w:firstLine="0"/>
        <w:jc w:val="both"/>
        <w:rPr>
          <w:szCs w:val="20"/>
          <w:lang w:val="en-GB"/>
        </w:rPr>
      </w:pPr>
      <w:r w:rsidRPr="00EB48E4">
        <w:rPr>
          <w:szCs w:val="20"/>
          <w:lang w:val="en-GB"/>
        </w:rPr>
        <w:t>According to § 17 of the act 359/2015 Coll. a holder of a financial account or a controlling person is obliged to provide the reporting financial institution and Slovak reporting financial institution with necessary cooperation in order to fulfil its obligations pursuant to this act.</w:t>
      </w:r>
    </w:p>
    <w:p w:rsidR="00CD7681" w:rsidRPr="00EB48E4" w:rsidRDefault="00CD7681" w:rsidP="00EB48E4">
      <w:pPr>
        <w:pStyle w:val="Textvysvetlivky"/>
        <w:ind w:left="142" w:hanging="142"/>
        <w:jc w:val="both"/>
        <w:rPr>
          <w:sz w:val="8"/>
          <w:szCs w:val="8"/>
          <w:lang w:val="en-GB"/>
        </w:rPr>
      </w:pPr>
    </w:p>
    <w:p w:rsidR="00CD7681" w:rsidRPr="00EB48E4" w:rsidRDefault="00CD7681" w:rsidP="00EB48E4">
      <w:pPr>
        <w:pStyle w:val="Textvysvetlivky"/>
        <w:ind w:left="142" w:firstLine="0"/>
        <w:jc w:val="both"/>
        <w:rPr>
          <w:szCs w:val="20"/>
          <w:lang w:val="en-GB"/>
        </w:rPr>
      </w:pPr>
      <w:r w:rsidRPr="00EB48E4">
        <w:rPr>
          <w:szCs w:val="20"/>
          <w:lang w:val="en-GB"/>
        </w:rPr>
        <w:t>Pursuant to the Agreement between the Slovak Republic and the United States of America to Improve International Tax Compliance and to Implement FATCA if CDCP shall not obtain valid statutory declaration from the client, it will consider the owner’s account of such client for account subject to reporting to the United States of America.</w:t>
      </w:r>
    </w:p>
    <w:p w:rsidR="00CD7681" w:rsidRPr="00EB48E4" w:rsidRDefault="00CD7681" w:rsidP="00EB48E4">
      <w:pPr>
        <w:pStyle w:val="Textvysvetlivky"/>
        <w:ind w:left="142" w:firstLine="0"/>
        <w:jc w:val="both"/>
        <w:rPr>
          <w:sz w:val="8"/>
          <w:szCs w:val="8"/>
        </w:rPr>
      </w:pPr>
    </w:p>
  </w:endnote>
  <w:endnote w:id="9">
    <w:p w:rsidR="00CD7681" w:rsidRPr="00EB48E4" w:rsidRDefault="00CD7681" w:rsidP="00EB48E4">
      <w:pPr>
        <w:pStyle w:val="Textvysvetlivky"/>
        <w:ind w:left="142" w:hanging="142"/>
        <w:jc w:val="both"/>
        <w:rPr>
          <w:szCs w:val="20"/>
          <w:lang w:val="en-GB"/>
        </w:rPr>
      </w:pPr>
      <w:r w:rsidRPr="00EB48E4">
        <w:rPr>
          <w:rStyle w:val="Odkaznavysvetlivku"/>
          <w:szCs w:val="20"/>
        </w:rPr>
        <w:endnoteRef/>
      </w:r>
      <w:r w:rsidRPr="00EB48E4">
        <w:rPr>
          <w:szCs w:val="20"/>
        </w:rPr>
        <w:t xml:space="preserve"> </w:t>
      </w:r>
      <w:r w:rsidRPr="00EB48E4">
        <w:rPr>
          <w:szCs w:val="20"/>
          <w:lang w:val="en-GB"/>
        </w:rPr>
        <w:t xml:space="preserve">The term “U.S. Person” means a U.S. citizen or resident individual, a partnership or corporation organized in the United States or under the laws of the United States or any State thereof, a trust if </w:t>
      </w:r>
    </w:p>
    <w:p w:rsidR="00CD7681" w:rsidRPr="00EB48E4" w:rsidRDefault="00CD7681" w:rsidP="00EB48E4">
      <w:pPr>
        <w:pStyle w:val="Textvysvetlivky"/>
        <w:numPr>
          <w:ilvl w:val="0"/>
          <w:numId w:val="18"/>
        </w:numPr>
        <w:ind w:left="426" w:hanging="153"/>
        <w:jc w:val="both"/>
        <w:rPr>
          <w:szCs w:val="20"/>
          <w:lang w:val="en-GB"/>
        </w:rPr>
      </w:pPr>
      <w:r w:rsidRPr="00EB48E4">
        <w:rPr>
          <w:szCs w:val="20"/>
          <w:lang w:val="en-GB"/>
        </w:rPr>
        <w:t xml:space="preserve">a court within the United States would have authority under applicable law to render orders or judgments concerning substantially all issues regarding administration of the trust, and </w:t>
      </w:r>
    </w:p>
    <w:p w:rsidR="00CD7681" w:rsidRPr="00EB48E4" w:rsidRDefault="00CD7681" w:rsidP="00EB48E4">
      <w:pPr>
        <w:pStyle w:val="Textvysvetlivky"/>
        <w:numPr>
          <w:ilvl w:val="0"/>
          <w:numId w:val="18"/>
        </w:numPr>
        <w:ind w:left="426" w:hanging="153"/>
        <w:jc w:val="both"/>
        <w:rPr>
          <w:szCs w:val="20"/>
          <w:lang w:val="en-GB"/>
        </w:rPr>
      </w:pPr>
      <w:r w:rsidRPr="00EB48E4">
        <w:rPr>
          <w:szCs w:val="20"/>
          <w:lang w:val="en-GB"/>
        </w:rPr>
        <w:t>one or more U.S. persons have the authority to control all substantial decisions of the trust, or an estate of a decedent that is a citizen or resident of the United States.  This subparagraph 1(ee) shall be interpreted in accordance with the U.S. Internal Revenue Code.</w:t>
      </w:r>
    </w:p>
    <w:p w:rsidR="00CD7681" w:rsidRPr="00EB48E4" w:rsidRDefault="00CD7681" w:rsidP="00EB48E4">
      <w:pPr>
        <w:pStyle w:val="Textvysvetlivky"/>
        <w:ind w:left="142" w:firstLine="0"/>
        <w:jc w:val="both"/>
        <w:rPr>
          <w:i/>
          <w:szCs w:val="20"/>
          <w:lang w:val="en-GB"/>
        </w:rPr>
      </w:pPr>
      <w:r w:rsidRPr="00EB48E4">
        <w:rPr>
          <w:i/>
          <w:szCs w:val="20"/>
          <w:lang w:val="en-GB"/>
        </w:rPr>
        <w:t>(article 1, section 1(ee) of the Agreement between the SR and the USA to Improve International Tax Compliance and to Implement FATCA)</w:t>
      </w:r>
    </w:p>
    <w:p w:rsidR="00CD7681" w:rsidRPr="00EB48E4" w:rsidRDefault="00CD7681" w:rsidP="00EB48E4">
      <w:pPr>
        <w:pStyle w:val="Textvysvetlivky"/>
        <w:ind w:left="142" w:firstLine="0"/>
        <w:rPr>
          <w:i/>
          <w:sz w:val="8"/>
          <w:szCs w:val="8"/>
        </w:rPr>
      </w:pPr>
    </w:p>
    <w:p w:rsidR="00CD7681" w:rsidRPr="00EB48E4" w:rsidRDefault="00CD7681" w:rsidP="00EB48E4">
      <w:pPr>
        <w:pStyle w:val="Textvysvetlivky"/>
        <w:ind w:left="142" w:firstLine="0"/>
        <w:jc w:val="both"/>
        <w:rPr>
          <w:szCs w:val="20"/>
          <w:lang w:val="en-GB"/>
        </w:rPr>
      </w:pPr>
      <w:r w:rsidRPr="00EB48E4">
        <w:rPr>
          <w:szCs w:val="20"/>
          <w:lang w:val="en-GB"/>
        </w:rPr>
        <w:t>The term “</w:t>
      </w:r>
      <w:r w:rsidRPr="00EB48E4">
        <w:rPr>
          <w:b/>
          <w:szCs w:val="20"/>
          <w:lang w:val="en-GB"/>
        </w:rPr>
        <w:t>Specified U.S. Person</w:t>
      </w:r>
      <w:r w:rsidRPr="00EB48E4">
        <w:rPr>
          <w:szCs w:val="20"/>
          <w:lang w:val="en-GB"/>
        </w:rPr>
        <w:t xml:space="preserve">” means a U.S. Person, other than: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 corporation the stock of which is regularly traded on one or more established securities markets;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corporation that is a member of the same expanded affiliated group, as defined in section 1471(e)(2) of the U.S. Internal Revenue Code, as a corporation described in clause (i);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the United States or any wholly owned agency or instrumentality thereof;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State of the United States, any U.S. Territory, any political subdivision of any of the foregoing, or any wholly owned agency or instrumentality of any one or more of the foregoing;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organization exempt from taxation under section 501(a) of the U.S. Internal Revenue Code or an individual retirement plan as defined in section 7701(a)(37) of the U.S. Internal Revenue Code;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bank as defined in section 581 of the U.S. Internal Revenue Code;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real estate investment trust as defined in section 856 of the U.S. Internal Revenue Code;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regulated investment company as defined in section 851 of the U.S. Internal Revenue Code or any entity registered with the U.S. Securities and Exchange Commission under the Investment Company Act of 1940 (15 U.S.C. 80a-64);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common trust fund as defined in section 584(a) of the U.S. Internal Revenue Code;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any trust that is exempt from tax under section 664(c) of the U.S. Internal Revenue Code or that is described in section 4947(a)(1) of the U.S. Internal Revenue Code;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 dealer in securities, commodities, or derivative financial instruments (including notional principal contracts, futures, forwards, and options) that is registered as such under the laws of the United States or any State;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 xml:space="preserve">a broker as defined in section 6045(c) of the U.S. Internal Revenue Code; or </w:t>
      </w:r>
    </w:p>
    <w:p w:rsidR="00CD7681" w:rsidRPr="00EB48E4" w:rsidRDefault="00CD7681" w:rsidP="00EB48E4">
      <w:pPr>
        <w:pStyle w:val="Textvysvetlivky"/>
        <w:numPr>
          <w:ilvl w:val="0"/>
          <w:numId w:val="19"/>
        </w:numPr>
        <w:ind w:left="567" w:hanging="153"/>
        <w:jc w:val="both"/>
        <w:rPr>
          <w:szCs w:val="20"/>
          <w:lang w:val="en-GB"/>
        </w:rPr>
      </w:pPr>
      <w:r w:rsidRPr="00EB48E4">
        <w:rPr>
          <w:szCs w:val="20"/>
          <w:lang w:val="en-GB"/>
        </w:rPr>
        <w:t>any tax-exempt trust under a plan that is described in section 403(b) or section 457(g) of the U.S. Internal Revenue Code.</w:t>
      </w:r>
      <w:r w:rsidRPr="00EB48E4">
        <w:rPr>
          <w:szCs w:val="20"/>
          <w:lang w:val="en-GB"/>
        </w:rPr>
        <w:tab/>
      </w:r>
      <w:r w:rsidRPr="00EB48E4">
        <w:rPr>
          <w:szCs w:val="20"/>
          <w:lang w:val="en-GB"/>
        </w:rPr>
        <w:tab/>
      </w:r>
    </w:p>
    <w:p w:rsidR="00CD7681" w:rsidRPr="00EB48E4" w:rsidRDefault="00CD7681" w:rsidP="00EB48E4">
      <w:pPr>
        <w:pStyle w:val="Textvysvetlivky"/>
        <w:ind w:left="142" w:firstLine="0"/>
        <w:jc w:val="both"/>
        <w:rPr>
          <w:i/>
          <w:szCs w:val="20"/>
          <w:lang w:val="en-GB"/>
        </w:rPr>
      </w:pPr>
      <w:r w:rsidRPr="00EB48E4">
        <w:rPr>
          <w:i/>
          <w:szCs w:val="20"/>
          <w:lang w:val="en-GB"/>
        </w:rPr>
        <w:t xml:space="preserve"> (article 1, section 1(ff) of the Agreement between the SR and the USA to Improve International Tax Compliance and to Implement FATCA)</w:t>
      </w:r>
    </w:p>
    <w:p w:rsidR="00CD7681" w:rsidRPr="00EB48E4" w:rsidRDefault="00CD7681" w:rsidP="00EB48E4">
      <w:pPr>
        <w:pStyle w:val="Textvysvetlivky"/>
        <w:ind w:left="142" w:firstLine="0"/>
        <w:jc w:val="both"/>
        <w:rPr>
          <w:i/>
          <w:sz w:val="8"/>
          <w:szCs w:val="8"/>
        </w:rPr>
      </w:pPr>
    </w:p>
  </w:endnote>
  <w:endnote w:id="10">
    <w:p w:rsidR="00CD7681" w:rsidRPr="00EB48E4" w:rsidRDefault="00CD7681" w:rsidP="00EB48E4">
      <w:pPr>
        <w:autoSpaceDE w:val="0"/>
        <w:autoSpaceDN w:val="0"/>
        <w:adjustRightInd w:val="0"/>
        <w:ind w:left="142" w:right="-284" w:hanging="142"/>
        <w:jc w:val="both"/>
        <w:rPr>
          <w:sz w:val="20"/>
          <w:szCs w:val="20"/>
          <w:lang w:val="en-GB"/>
        </w:rPr>
      </w:pPr>
      <w:r w:rsidRPr="00EB48E4">
        <w:rPr>
          <w:rStyle w:val="Odkaznavysvetlivku"/>
          <w:sz w:val="20"/>
          <w:szCs w:val="20"/>
          <w:lang w:val="en-GB"/>
        </w:rPr>
        <w:endnoteRef/>
      </w:r>
      <w:r w:rsidRPr="00EB48E4">
        <w:rPr>
          <w:sz w:val="20"/>
          <w:szCs w:val="20"/>
          <w:lang w:val="en-GB"/>
        </w:rPr>
        <w:t xml:space="preserve"> The term “</w:t>
      </w:r>
      <w:r w:rsidRPr="00EB48E4">
        <w:rPr>
          <w:b/>
          <w:sz w:val="20"/>
          <w:szCs w:val="20"/>
          <w:lang w:val="en-GB"/>
        </w:rPr>
        <w:t>Slovak Financial Institution</w:t>
      </w:r>
      <w:r w:rsidRPr="00EB48E4">
        <w:rPr>
          <w:sz w:val="20"/>
          <w:szCs w:val="20"/>
          <w:lang w:val="en-GB"/>
        </w:rPr>
        <w:t xml:space="preserve">” means </w:t>
      </w:r>
    </w:p>
    <w:p w:rsidR="00CD7681" w:rsidRPr="00EB48E4" w:rsidRDefault="00CD7681" w:rsidP="00EB48E4">
      <w:pPr>
        <w:pStyle w:val="Odsekzoznamu"/>
        <w:numPr>
          <w:ilvl w:val="0"/>
          <w:numId w:val="21"/>
        </w:numPr>
        <w:autoSpaceDE w:val="0"/>
        <w:autoSpaceDN w:val="0"/>
        <w:adjustRightInd w:val="0"/>
        <w:ind w:left="567" w:right="-284" w:hanging="153"/>
        <w:jc w:val="both"/>
        <w:rPr>
          <w:sz w:val="20"/>
          <w:szCs w:val="20"/>
          <w:lang w:val="en-GB"/>
        </w:rPr>
      </w:pPr>
      <w:r w:rsidRPr="00EB48E4">
        <w:rPr>
          <w:sz w:val="20"/>
          <w:szCs w:val="20"/>
          <w:lang w:val="en-GB"/>
        </w:rPr>
        <w:t xml:space="preserve">any Financial Institution resident in the Slovak Republic, but excluding any branch of such Financial Institution that is located outside the Slovak Republic, and </w:t>
      </w:r>
    </w:p>
    <w:p w:rsidR="00CD7681" w:rsidRPr="00EB48E4" w:rsidRDefault="00CD7681" w:rsidP="00EB48E4">
      <w:pPr>
        <w:pStyle w:val="Odsekzoznamu"/>
        <w:numPr>
          <w:ilvl w:val="0"/>
          <w:numId w:val="21"/>
        </w:numPr>
        <w:autoSpaceDE w:val="0"/>
        <w:autoSpaceDN w:val="0"/>
        <w:adjustRightInd w:val="0"/>
        <w:ind w:left="567" w:right="-284" w:hanging="153"/>
        <w:jc w:val="both"/>
        <w:rPr>
          <w:rFonts w:ascii="Calibri" w:hAnsi="Calibri" w:cs="Arial"/>
          <w:sz w:val="20"/>
          <w:szCs w:val="20"/>
          <w:lang w:val="en-GB"/>
        </w:rPr>
      </w:pPr>
      <w:r w:rsidRPr="00EB48E4">
        <w:rPr>
          <w:sz w:val="20"/>
          <w:szCs w:val="20"/>
          <w:lang w:val="en-GB"/>
        </w:rPr>
        <w:t>any branch of a Financial Institution not resident in the Slovak Republic, if such branch is located in the Slovak Republic.</w:t>
      </w:r>
      <w:r w:rsidRPr="00EB48E4">
        <w:rPr>
          <w:rFonts w:ascii="Calibri" w:hAnsi="Calibri" w:cs="Arial"/>
          <w:sz w:val="20"/>
          <w:szCs w:val="20"/>
          <w:lang w:val="en-GB"/>
        </w:rPr>
        <w:t xml:space="preserve"> </w:t>
      </w:r>
    </w:p>
    <w:p w:rsidR="00CD7681" w:rsidRPr="00EB48E4" w:rsidRDefault="00CD7681" w:rsidP="00EB48E4">
      <w:pPr>
        <w:autoSpaceDE w:val="0"/>
        <w:autoSpaceDN w:val="0"/>
        <w:adjustRightInd w:val="0"/>
        <w:ind w:left="142" w:right="-1" w:firstLine="0"/>
        <w:jc w:val="both"/>
        <w:rPr>
          <w:rFonts w:ascii="Calibri" w:hAnsi="Calibri" w:cs="Arial"/>
          <w:i/>
          <w:sz w:val="20"/>
          <w:szCs w:val="20"/>
          <w:lang w:val="en-GB"/>
        </w:rPr>
      </w:pPr>
      <w:r w:rsidRPr="00EB48E4">
        <w:rPr>
          <w:rFonts w:ascii="Calibri" w:hAnsi="Calibri" w:cs="Arial"/>
          <w:i/>
          <w:sz w:val="20"/>
          <w:szCs w:val="20"/>
          <w:lang w:val="en-GB"/>
        </w:rPr>
        <w:t xml:space="preserve"> (article 1, section 1(l) of the Agreement between the SR and the USA to Improve International Tax Compliance and to Implement FATCA)</w:t>
      </w:r>
    </w:p>
    <w:p w:rsidR="00CD7681" w:rsidRPr="00EB48E4" w:rsidRDefault="00CD7681" w:rsidP="00EB48E4">
      <w:pPr>
        <w:autoSpaceDE w:val="0"/>
        <w:autoSpaceDN w:val="0"/>
        <w:adjustRightInd w:val="0"/>
        <w:ind w:left="142" w:right="-1" w:firstLine="0"/>
        <w:jc w:val="both"/>
        <w:rPr>
          <w:i/>
          <w:sz w:val="8"/>
          <w:szCs w:val="8"/>
        </w:rPr>
      </w:pPr>
    </w:p>
  </w:endnote>
  <w:endnote w:id="11">
    <w:p w:rsidR="00CD7681" w:rsidRPr="00EB48E4" w:rsidRDefault="00CD7681" w:rsidP="00EB48E4">
      <w:pPr>
        <w:autoSpaceDE w:val="0"/>
        <w:autoSpaceDN w:val="0"/>
        <w:adjustRightInd w:val="0"/>
        <w:ind w:left="142" w:right="-1" w:hanging="142"/>
        <w:jc w:val="both"/>
        <w:rPr>
          <w:rFonts w:ascii="Calibri" w:hAnsi="Calibri" w:cs="Arial"/>
          <w:sz w:val="20"/>
          <w:szCs w:val="20"/>
          <w:lang w:val="en-GB"/>
        </w:rPr>
      </w:pPr>
      <w:r w:rsidRPr="00EB48E4">
        <w:rPr>
          <w:rStyle w:val="Odkaznavysvetlivku"/>
          <w:sz w:val="20"/>
          <w:szCs w:val="20"/>
        </w:rPr>
        <w:endnoteRef/>
      </w:r>
      <w:r w:rsidRPr="00EB48E4">
        <w:rPr>
          <w:sz w:val="20"/>
          <w:szCs w:val="20"/>
        </w:rPr>
        <w:t xml:space="preserve"> </w:t>
      </w:r>
      <w:r w:rsidRPr="00EB48E4">
        <w:rPr>
          <w:sz w:val="20"/>
          <w:szCs w:val="20"/>
          <w:lang w:val="en-GB"/>
        </w:rPr>
        <w:t>The term “</w:t>
      </w:r>
      <w:r w:rsidRPr="00EB48E4">
        <w:rPr>
          <w:b/>
          <w:sz w:val="20"/>
          <w:szCs w:val="20"/>
          <w:lang w:val="en-GB"/>
        </w:rPr>
        <w:t>Partner Jurisdiction</w:t>
      </w:r>
      <w:r w:rsidRPr="00EB48E4">
        <w:rPr>
          <w:sz w:val="20"/>
          <w:szCs w:val="20"/>
          <w:lang w:val="en-GB"/>
        </w:rPr>
        <w:t>” means a jurisdiction that has in effect an agreement with the United States to facilitate the implementation of FATCA.  The IRS shall publish a list identifying all Partner Jurisdictions.</w:t>
      </w:r>
    </w:p>
    <w:p w:rsidR="00CD7681" w:rsidRPr="00EB48E4" w:rsidRDefault="00CD7681" w:rsidP="00EB48E4">
      <w:pPr>
        <w:autoSpaceDE w:val="0"/>
        <w:autoSpaceDN w:val="0"/>
        <w:adjustRightInd w:val="0"/>
        <w:ind w:left="142" w:right="-1" w:firstLine="0"/>
        <w:jc w:val="both"/>
        <w:rPr>
          <w:rFonts w:ascii="Calibri" w:hAnsi="Calibri" w:cs="Arial"/>
          <w:i/>
          <w:sz w:val="20"/>
          <w:szCs w:val="20"/>
          <w:lang w:val="en-GB"/>
        </w:rPr>
      </w:pPr>
      <w:r w:rsidRPr="00EB48E4">
        <w:rPr>
          <w:rFonts w:ascii="Calibri" w:hAnsi="Calibri" w:cs="Arial"/>
          <w:i/>
          <w:sz w:val="20"/>
          <w:szCs w:val="20"/>
          <w:lang w:val="en-GB"/>
        </w:rPr>
        <w:t>(article 1, section 1(e) of the Agreement between the SR and the USA to Improve International Tax Compliance and to Implement FATCA)</w:t>
      </w:r>
    </w:p>
    <w:p w:rsidR="00CD7681" w:rsidRPr="00EB48E4" w:rsidRDefault="00CD7681" w:rsidP="00EB48E4">
      <w:pPr>
        <w:pStyle w:val="Textvysvetlivky"/>
        <w:ind w:right="-1"/>
        <w:rPr>
          <w:sz w:val="8"/>
          <w:szCs w:val="8"/>
          <w:lang w:val="en-GB"/>
        </w:rPr>
      </w:pPr>
    </w:p>
    <w:p w:rsidR="00CD7681" w:rsidRPr="00EB48E4" w:rsidRDefault="00CD7681" w:rsidP="00EB48E4">
      <w:pPr>
        <w:autoSpaceDE w:val="0"/>
        <w:autoSpaceDN w:val="0"/>
        <w:adjustRightInd w:val="0"/>
        <w:ind w:left="142" w:right="-1" w:firstLine="0"/>
        <w:jc w:val="both"/>
        <w:rPr>
          <w:rFonts w:ascii="Calibri" w:hAnsi="Calibri" w:cs="Arial"/>
          <w:sz w:val="20"/>
          <w:szCs w:val="20"/>
          <w:lang w:val="en-GB"/>
        </w:rPr>
      </w:pPr>
      <w:r w:rsidRPr="00EB48E4">
        <w:rPr>
          <w:rFonts w:ascii="Calibri" w:hAnsi="Calibri" w:cs="Arial"/>
          <w:sz w:val="20"/>
          <w:szCs w:val="20"/>
          <w:lang w:val="en-GB"/>
        </w:rPr>
        <w:t>The term “</w:t>
      </w:r>
      <w:r w:rsidRPr="00EB48E4">
        <w:rPr>
          <w:rFonts w:ascii="Calibri" w:hAnsi="Calibri" w:cs="Arial"/>
          <w:b/>
          <w:sz w:val="20"/>
          <w:szCs w:val="20"/>
          <w:lang w:val="en-GB"/>
        </w:rPr>
        <w:t>Partner Jurisdiction Financial Institution</w:t>
      </w:r>
      <w:r w:rsidRPr="00EB48E4">
        <w:rPr>
          <w:rFonts w:ascii="Calibri" w:hAnsi="Calibri" w:cs="Arial"/>
          <w:sz w:val="20"/>
          <w:szCs w:val="20"/>
          <w:lang w:val="en-GB"/>
        </w:rPr>
        <w:t xml:space="preserve">” means </w:t>
      </w:r>
    </w:p>
    <w:p w:rsidR="00CD7681" w:rsidRPr="00EB48E4" w:rsidRDefault="00CD7681" w:rsidP="00EB48E4">
      <w:pPr>
        <w:autoSpaceDE w:val="0"/>
        <w:autoSpaceDN w:val="0"/>
        <w:adjustRightInd w:val="0"/>
        <w:ind w:left="142" w:right="-1" w:firstLine="0"/>
        <w:jc w:val="both"/>
        <w:rPr>
          <w:rFonts w:ascii="Calibri" w:hAnsi="Calibri" w:cs="Arial"/>
          <w:sz w:val="20"/>
          <w:szCs w:val="20"/>
          <w:lang w:val="en-GB"/>
        </w:rPr>
      </w:pPr>
      <w:r w:rsidRPr="00EB48E4">
        <w:rPr>
          <w:rFonts w:ascii="Calibri" w:hAnsi="Calibri" w:cs="Arial"/>
          <w:sz w:val="20"/>
          <w:szCs w:val="20"/>
          <w:lang w:val="en-GB"/>
        </w:rPr>
        <w:t xml:space="preserve">(i) any Financial Institution established in a Partner Jurisdiction, but excluding any branch of such Financial Institution that is located outside the Partner Jurisdiction, and </w:t>
      </w:r>
    </w:p>
    <w:p w:rsidR="00CD7681" w:rsidRPr="00EB48E4" w:rsidRDefault="00CD7681" w:rsidP="00EB48E4">
      <w:pPr>
        <w:autoSpaceDE w:val="0"/>
        <w:autoSpaceDN w:val="0"/>
        <w:adjustRightInd w:val="0"/>
        <w:ind w:left="142" w:right="-1" w:firstLine="0"/>
        <w:jc w:val="both"/>
        <w:rPr>
          <w:rFonts w:ascii="Calibri" w:hAnsi="Calibri" w:cs="Arial"/>
          <w:sz w:val="20"/>
          <w:szCs w:val="20"/>
          <w:lang w:val="en-GB"/>
        </w:rPr>
      </w:pPr>
      <w:r w:rsidRPr="00EB48E4">
        <w:rPr>
          <w:rFonts w:ascii="Calibri" w:hAnsi="Calibri" w:cs="Arial"/>
          <w:sz w:val="20"/>
          <w:szCs w:val="20"/>
          <w:lang w:val="en-GB"/>
        </w:rPr>
        <w:t>(ii) any branch of a Financial Institution not established in the Partner Jurisdiction, if such branch is located in the Partner Jurisdiction.</w:t>
      </w:r>
    </w:p>
    <w:p w:rsidR="00CD7681" w:rsidRPr="00EB48E4" w:rsidRDefault="00CD7681" w:rsidP="00EB48E4">
      <w:pPr>
        <w:autoSpaceDE w:val="0"/>
        <w:autoSpaceDN w:val="0"/>
        <w:adjustRightInd w:val="0"/>
        <w:ind w:left="142" w:right="-1" w:firstLine="0"/>
        <w:jc w:val="both"/>
        <w:rPr>
          <w:rFonts w:ascii="Calibri" w:hAnsi="Calibri" w:cs="Arial"/>
          <w:i/>
          <w:sz w:val="20"/>
          <w:szCs w:val="20"/>
          <w:lang w:val="en-GB"/>
        </w:rPr>
      </w:pPr>
      <w:r w:rsidRPr="00EB48E4">
        <w:rPr>
          <w:rFonts w:ascii="Calibri" w:hAnsi="Calibri" w:cs="Arial"/>
          <w:i/>
          <w:sz w:val="20"/>
          <w:szCs w:val="20"/>
          <w:lang w:val="en-GB"/>
        </w:rPr>
        <w:t xml:space="preserve"> (article 1, section 1(m) of the Agreement between the SR and the USA to Improve International Tax Compliance and to Implement FATCA)</w:t>
      </w:r>
    </w:p>
    <w:p w:rsidR="00CD7681" w:rsidRPr="00EB48E4" w:rsidRDefault="00CD7681" w:rsidP="00EB48E4">
      <w:pPr>
        <w:autoSpaceDE w:val="0"/>
        <w:autoSpaceDN w:val="0"/>
        <w:adjustRightInd w:val="0"/>
        <w:ind w:left="142" w:right="-1" w:firstLine="0"/>
        <w:jc w:val="both"/>
        <w:rPr>
          <w:rFonts w:ascii="Calibri" w:hAnsi="Calibri" w:cs="Arial"/>
          <w:i/>
          <w:sz w:val="8"/>
          <w:szCs w:val="8"/>
          <w:lang w:val="en-GB"/>
        </w:rPr>
      </w:pPr>
    </w:p>
  </w:endnote>
  <w:endnote w:id="12">
    <w:p w:rsidR="00CD7681" w:rsidRPr="00EB48E4" w:rsidRDefault="00CD7681" w:rsidP="00EB48E4">
      <w:pPr>
        <w:autoSpaceDE w:val="0"/>
        <w:autoSpaceDN w:val="0"/>
        <w:adjustRightInd w:val="0"/>
        <w:ind w:left="142" w:right="-1" w:hanging="142"/>
        <w:jc w:val="both"/>
        <w:rPr>
          <w:sz w:val="20"/>
          <w:szCs w:val="20"/>
          <w:lang w:val="en-GB"/>
        </w:rPr>
      </w:pPr>
      <w:r w:rsidRPr="00EB48E4">
        <w:rPr>
          <w:rStyle w:val="Odkaznavysvetlivku"/>
          <w:sz w:val="20"/>
          <w:szCs w:val="20"/>
          <w:lang w:val="en-GB"/>
        </w:rPr>
        <w:endnoteRef/>
      </w:r>
      <w:r w:rsidRPr="00EB48E4">
        <w:rPr>
          <w:sz w:val="20"/>
          <w:szCs w:val="20"/>
          <w:lang w:val="en-GB"/>
        </w:rPr>
        <w:t xml:space="preserve"> The term „</w:t>
      </w:r>
      <w:r w:rsidRPr="00EB48E4">
        <w:rPr>
          <w:b/>
          <w:sz w:val="20"/>
          <w:szCs w:val="20"/>
          <w:lang w:val="en-GB"/>
        </w:rPr>
        <w:t>Participating Foreign Financial Institution</w:t>
      </w:r>
      <w:r w:rsidRPr="00EB48E4">
        <w:rPr>
          <w:sz w:val="20"/>
          <w:szCs w:val="20"/>
          <w:lang w:val="en-GB"/>
        </w:rPr>
        <w:t>“ means a Financial Institution that has agreed to comply with the requirements of an FFI Agreement, including a Financial Institution described in a Model 2 IGA that has agreed to comply with the requirements of an FFI Agreement.  The term Participating FFI also includes a qualified intermediary branch of a Reporting U.S. Financial Institution, unless such branch is a Reporting Model 1 FFI.  For purposes of this definition, the term FFI Agreement means an agreement that sets forth the requirements for a Financial Institution to be treated as complying with the requirements of section 1471(b) of the U.S. Internal Revenue Code. In addition, for purposes of this definition, the term Model 2 IGA means an arrangement between the United States or the Treasury Department and a non-U.S. government or one or more agencies thereof to facilitate the implementation of FATCA through reporting by Financial Institutions directly to the IRS in accordance with the requirements of an FFI Agreement, supplemented by the exchange of information between such non-U.S. government or agency thereof and the IRS.</w:t>
      </w:r>
    </w:p>
    <w:p w:rsidR="00CD7681" w:rsidRPr="00EB48E4" w:rsidRDefault="00CD7681" w:rsidP="00EB48E4">
      <w:pPr>
        <w:autoSpaceDE w:val="0"/>
        <w:autoSpaceDN w:val="0"/>
        <w:adjustRightInd w:val="0"/>
        <w:ind w:left="142" w:right="-1" w:firstLine="0"/>
        <w:jc w:val="both"/>
        <w:rPr>
          <w:rFonts w:ascii="Calibri" w:hAnsi="Calibri" w:cs="Arial"/>
          <w:i/>
          <w:sz w:val="20"/>
          <w:szCs w:val="20"/>
          <w:lang w:val="en-GB"/>
        </w:rPr>
      </w:pPr>
      <w:r w:rsidRPr="00EB48E4">
        <w:rPr>
          <w:rFonts w:ascii="Calibri" w:hAnsi="Calibri" w:cs="Arial"/>
          <w:i/>
          <w:sz w:val="20"/>
          <w:szCs w:val="20"/>
          <w:lang w:val="en-GB"/>
        </w:rPr>
        <w:t>(part VI, section B of Annex I of the Agreement between the SR and the USA to Improve International Tax Compliance and to Implement FATCA)</w:t>
      </w:r>
    </w:p>
    <w:p w:rsidR="00CD7681" w:rsidRPr="00EB48E4" w:rsidRDefault="00CD7681" w:rsidP="00EB48E4">
      <w:pPr>
        <w:autoSpaceDE w:val="0"/>
        <w:autoSpaceDN w:val="0"/>
        <w:adjustRightInd w:val="0"/>
        <w:ind w:left="142" w:right="-1" w:firstLine="0"/>
        <w:jc w:val="both"/>
        <w:rPr>
          <w:rFonts w:ascii="Calibri" w:hAnsi="Calibri" w:cs="Arial"/>
          <w:i/>
          <w:sz w:val="8"/>
          <w:szCs w:val="8"/>
          <w:lang w:val="en-GB"/>
        </w:rPr>
      </w:pPr>
    </w:p>
  </w:endnote>
  <w:endnote w:id="13">
    <w:p w:rsidR="00CD7681" w:rsidRPr="00EB48E4" w:rsidRDefault="00CD7681" w:rsidP="00EB48E4">
      <w:pPr>
        <w:ind w:left="142" w:right="-1" w:hanging="142"/>
        <w:jc w:val="both"/>
        <w:rPr>
          <w:rFonts w:ascii="Calibri" w:hAnsi="Calibri" w:cs="Arial"/>
          <w:sz w:val="20"/>
          <w:szCs w:val="20"/>
          <w:lang w:val="en-GB"/>
        </w:rPr>
      </w:pPr>
      <w:r w:rsidRPr="00EB48E4">
        <w:rPr>
          <w:rStyle w:val="Odkaznavysvetlivku"/>
          <w:sz w:val="20"/>
          <w:szCs w:val="20"/>
          <w:lang w:val="en-GB"/>
        </w:rPr>
        <w:endnoteRef/>
      </w:r>
      <w:r w:rsidRPr="00EB48E4">
        <w:rPr>
          <w:rFonts w:ascii="Calibri" w:hAnsi="Calibri" w:cs="Arial"/>
          <w:sz w:val="20"/>
          <w:szCs w:val="20"/>
          <w:lang w:val="en-GB"/>
        </w:rPr>
        <w:t>,,</w:t>
      </w:r>
      <w:r w:rsidRPr="00EB48E4">
        <w:rPr>
          <w:rFonts w:ascii="Calibri" w:hAnsi="Calibri" w:cs="Arial"/>
          <w:b/>
          <w:sz w:val="20"/>
          <w:szCs w:val="20"/>
          <w:lang w:val="en-GB"/>
        </w:rPr>
        <w:t>Foreign Financial Institutions Deemed Compliant</w:t>
      </w:r>
      <w:r w:rsidRPr="00EB48E4">
        <w:rPr>
          <w:rFonts w:ascii="Calibri" w:hAnsi="Calibri" w:cs="Arial"/>
          <w:sz w:val="20"/>
          <w:szCs w:val="20"/>
          <w:lang w:val="en-GB"/>
        </w:rPr>
        <w:t>“ – term specified in part III, IV of Annex II of the Agreement between the SR and the USA to Improve International Tax Compliance and to Implement FATCA</w:t>
      </w:r>
    </w:p>
    <w:p w:rsidR="00CD7681" w:rsidRPr="00EB48E4" w:rsidRDefault="00CD7681" w:rsidP="00EB48E4">
      <w:pPr>
        <w:ind w:left="142" w:right="-1" w:hanging="142"/>
        <w:jc w:val="both"/>
        <w:rPr>
          <w:sz w:val="8"/>
          <w:szCs w:val="8"/>
          <w:lang w:val="en-GB"/>
        </w:rPr>
      </w:pPr>
    </w:p>
  </w:endnote>
  <w:endnote w:id="14">
    <w:p w:rsidR="00CD7681" w:rsidRPr="00EB48E4" w:rsidRDefault="00CD7681" w:rsidP="00EB48E4">
      <w:pPr>
        <w:pStyle w:val="Textvysvetlivky"/>
        <w:ind w:left="142" w:right="-1" w:hanging="142"/>
        <w:rPr>
          <w:rFonts w:ascii="Calibri" w:hAnsi="Calibri" w:cs="Arial"/>
          <w:szCs w:val="20"/>
          <w:lang w:val="en-GB"/>
        </w:rPr>
      </w:pPr>
      <w:r w:rsidRPr="00EB48E4">
        <w:rPr>
          <w:rStyle w:val="Odkaznavysvetlivku"/>
          <w:rFonts w:ascii="Calibri" w:hAnsi="Calibri"/>
          <w:szCs w:val="20"/>
          <w:lang w:val="en-GB"/>
        </w:rPr>
        <w:endnoteRef/>
      </w:r>
      <w:r w:rsidRPr="00EB48E4">
        <w:rPr>
          <w:rFonts w:ascii="Calibri" w:hAnsi="Calibri"/>
          <w:szCs w:val="20"/>
          <w:lang w:val="en-GB"/>
        </w:rPr>
        <w:t xml:space="preserve"> </w:t>
      </w:r>
      <w:r w:rsidRPr="00EB48E4">
        <w:rPr>
          <w:rFonts w:ascii="Calibri" w:hAnsi="Calibri" w:cs="Arial"/>
          <w:szCs w:val="20"/>
          <w:lang w:val="en-GB"/>
        </w:rPr>
        <w:t>,,</w:t>
      </w:r>
      <w:r w:rsidRPr="00EB48E4">
        <w:rPr>
          <w:rFonts w:ascii="Calibri" w:hAnsi="Calibri" w:cs="Arial"/>
          <w:b/>
          <w:szCs w:val="20"/>
          <w:lang w:val="en-GB"/>
        </w:rPr>
        <w:t>Exempt Beneficial Owners</w:t>
      </w:r>
      <w:r w:rsidRPr="00EB48E4">
        <w:rPr>
          <w:rFonts w:ascii="Calibri" w:hAnsi="Calibri" w:cs="Arial"/>
          <w:szCs w:val="20"/>
          <w:lang w:val="en-GB"/>
        </w:rPr>
        <w:t>“</w:t>
      </w:r>
      <w:r w:rsidRPr="00EB48E4">
        <w:rPr>
          <w:rFonts w:ascii="Calibri" w:hAnsi="Calibri" w:cs="Arial"/>
          <w:b/>
          <w:szCs w:val="20"/>
          <w:lang w:val="en-GB"/>
        </w:rPr>
        <w:t xml:space="preserve"> </w:t>
      </w:r>
      <w:r w:rsidRPr="00EB48E4">
        <w:rPr>
          <w:rFonts w:ascii="Calibri" w:hAnsi="Calibri" w:cs="Arial"/>
          <w:szCs w:val="20"/>
          <w:lang w:val="en-GB"/>
        </w:rPr>
        <w:t>– term specified in part I, II of Annex II of the Agreement between the SR and the USA to Improve International Tax Compliance and to Implement FATCA</w:t>
      </w:r>
    </w:p>
    <w:p w:rsidR="00CD7681" w:rsidRPr="00EB48E4" w:rsidRDefault="00CD7681" w:rsidP="00EB48E4">
      <w:pPr>
        <w:pStyle w:val="Textvysvetlivky"/>
        <w:ind w:left="142" w:right="-1" w:hanging="142"/>
        <w:rPr>
          <w:rFonts w:ascii="Calibri" w:hAnsi="Calibri"/>
          <w:sz w:val="8"/>
          <w:szCs w:val="8"/>
        </w:rPr>
      </w:pPr>
    </w:p>
  </w:endnote>
  <w:endnote w:id="15">
    <w:p w:rsidR="00CD7681" w:rsidRPr="008443B4" w:rsidRDefault="00CD7681" w:rsidP="00EB48E4">
      <w:pPr>
        <w:autoSpaceDE w:val="0"/>
        <w:autoSpaceDN w:val="0"/>
        <w:adjustRightInd w:val="0"/>
        <w:ind w:left="142" w:right="-1" w:hanging="142"/>
        <w:jc w:val="both"/>
        <w:rPr>
          <w:rFonts w:ascii="Calibri" w:hAnsi="Calibri"/>
          <w:sz w:val="20"/>
          <w:szCs w:val="20"/>
          <w:lang w:val="en-GB"/>
        </w:rPr>
      </w:pPr>
      <w:r w:rsidRPr="00EB48E4">
        <w:rPr>
          <w:rStyle w:val="Odkaznavysvetlivku"/>
          <w:rFonts w:ascii="Calibri" w:hAnsi="Calibri"/>
          <w:sz w:val="20"/>
          <w:szCs w:val="20"/>
        </w:rPr>
        <w:endnoteRef/>
      </w:r>
      <w:r w:rsidRPr="00EB48E4">
        <w:rPr>
          <w:rFonts w:ascii="Calibri" w:hAnsi="Calibri"/>
          <w:sz w:val="20"/>
          <w:szCs w:val="20"/>
        </w:rPr>
        <w:t xml:space="preserve"> </w:t>
      </w:r>
      <w:r w:rsidRPr="00EB48E4">
        <w:rPr>
          <w:rFonts w:ascii="Calibri" w:hAnsi="Calibri"/>
          <w:sz w:val="20"/>
          <w:szCs w:val="20"/>
          <w:lang w:val="en-GB"/>
        </w:rPr>
        <w:t>An “</w:t>
      </w:r>
      <w:r w:rsidRPr="00EB48E4">
        <w:rPr>
          <w:rFonts w:ascii="Calibri" w:hAnsi="Calibri"/>
          <w:b/>
          <w:sz w:val="20"/>
          <w:szCs w:val="20"/>
          <w:lang w:val="en-GB"/>
        </w:rPr>
        <w:t>Non-Financial Foreign Entity</w:t>
      </w:r>
      <w:r w:rsidRPr="00EB48E4">
        <w:rPr>
          <w:rFonts w:ascii="Calibri" w:hAnsi="Calibri"/>
          <w:sz w:val="20"/>
          <w:szCs w:val="20"/>
          <w:lang w:val="en-GB"/>
        </w:rPr>
        <w:t>” means any Non-U.S. Entity that is not an FFI as defined in relevant U.S. Treasury Regulations or is an Entity described in subparagraph B(4)(j) of this section, and also includes any Non-U.S. Entity that is established in  the Slovak Republic or another</w:t>
      </w:r>
      <w:r w:rsidRPr="008443B4">
        <w:rPr>
          <w:rFonts w:ascii="Calibri" w:hAnsi="Calibri"/>
          <w:sz w:val="20"/>
          <w:szCs w:val="20"/>
          <w:lang w:val="en-GB"/>
        </w:rPr>
        <w:t xml:space="preserve"> Partner Jurisdiction and that is not a Financial Institution.</w:t>
      </w:r>
    </w:p>
    <w:p w:rsidR="00CD7681" w:rsidRPr="008443B4" w:rsidRDefault="00CD7681" w:rsidP="003D33BA">
      <w:pPr>
        <w:ind w:left="142" w:right="-1" w:firstLine="0"/>
        <w:jc w:val="both"/>
        <w:rPr>
          <w:rFonts w:ascii="Arial" w:hAnsi="Arial" w:cs="Arial"/>
          <w:i/>
          <w:sz w:val="16"/>
          <w:szCs w:val="16"/>
          <w:lang w:val="en-GB"/>
        </w:rPr>
      </w:pPr>
      <w:r w:rsidRPr="008443B4">
        <w:rPr>
          <w:rFonts w:ascii="Calibri" w:hAnsi="Calibri" w:cs="Arial"/>
          <w:i/>
          <w:sz w:val="20"/>
          <w:szCs w:val="20"/>
          <w:lang w:val="en-GB"/>
        </w:rPr>
        <w:t>(part VI, section B(2) of Annex I of the Agreement between the SR and the USA to Improve International Tax Compliance and to Implement FATCA</w:t>
      </w:r>
      <w:r w:rsidRPr="008443B4">
        <w:rPr>
          <w:rFonts w:ascii="Arial" w:hAnsi="Arial" w:cs="Arial"/>
          <w:i/>
          <w:sz w:val="16"/>
          <w:szCs w:val="16"/>
          <w:lang w:val="en-GB"/>
        </w:rPr>
        <w:t>)</w:t>
      </w:r>
    </w:p>
    <w:p w:rsidR="00CD7681" w:rsidRPr="0007067F" w:rsidRDefault="00CD7681" w:rsidP="003D33BA">
      <w:pPr>
        <w:ind w:left="142" w:right="-1" w:firstLine="0"/>
        <w:jc w:val="both"/>
        <w:rPr>
          <w:rFonts w:ascii="Arial" w:hAnsi="Arial" w:cs="Arial"/>
          <w:i/>
          <w:sz w:val="8"/>
          <w:szCs w:val="8"/>
          <w:lang w:val="en-GB"/>
        </w:rPr>
      </w:pPr>
    </w:p>
    <w:p w:rsidR="00CD7681" w:rsidRPr="0007067F" w:rsidRDefault="00CD7681" w:rsidP="0007067F">
      <w:pPr>
        <w:autoSpaceDE w:val="0"/>
        <w:autoSpaceDN w:val="0"/>
        <w:adjustRightInd w:val="0"/>
        <w:ind w:left="142" w:right="-1" w:firstLine="0"/>
        <w:jc w:val="both"/>
        <w:rPr>
          <w:rFonts w:ascii="Calibri" w:hAnsi="Calibri" w:cs="Arial"/>
          <w:sz w:val="20"/>
          <w:szCs w:val="20"/>
          <w:lang w:val="en-GB"/>
        </w:rPr>
      </w:pPr>
      <w:r w:rsidRPr="0007067F">
        <w:rPr>
          <w:rFonts w:ascii="Calibri" w:hAnsi="Calibri" w:cs="Arial"/>
          <w:sz w:val="20"/>
          <w:szCs w:val="20"/>
          <w:lang w:val="en-GB"/>
        </w:rPr>
        <w:t>An “</w:t>
      </w:r>
      <w:r w:rsidRPr="0007067F">
        <w:rPr>
          <w:rFonts w:ascii="Calibri" w:hAnsi="Calibri" w:cs="Arial"/>
          <w:b/>
          <w:sz w:val="20"/>
          <w:szCs w:val="20"/>
          <w:lang w:val="en-GB"/>
        </w:rPr>
        <w:t>Active Non-Financial Foreign Entity</w:t>
      </w:r>
      <w:r w:rsidRPr="0007067F">
        <w:rPr>
          <w:rFonts w:ascii="Calibri" w:hAnsi="Calibri" w:cs="Arial"/>
          <w:sz w:val="20"/>
          <w:szCs w:val="20"/>
          <w:lang w:val="en-GB"/>
        </w:rPr>
        <w:t>” means any NFFE that meets any of the following criteria:</w:t>
      </w:r>
    </w:p>
    <w:p w:rsidR="00CD7681" w:rsidRPr="0007067F"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07067F">
        <w:rPr>
          <w:rFonts w:ascii="Calibri" w:hAnsi="Calibri" w:cs="Arial"/>
          <w:sz w:val="20"/>
          <w:szCs w:val="20"/>
          <w:lang w:val="en-GB"/>
        </w:rPr>
        <w:t>Less than 50 percent of the NFFE’s gross income for the preceding calendar year or other appropriate reporting period is passive income and less than 50 percent of the assets held by the NFFE during the preceding calendar year or other appropriate reporting period are assets that produce or are held for the production of passive income;</w:t>
      </w:r>
    </w:p>
    <w:p w:rsidR="00CD7681" w:rsidRPr="0007067F"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07067F">
        <w:rPr>
          <w:rFonts w:ascii="Calibri" w:hAnsi="Calibri" w:cs="Arial"/>
          <w:sz w:val="20"/>
          <w:szCs w:val="20"/>
          <w:lang w:val="en-GB"/>
        </w:rPr>
        <w:t>The stock of the NFFE is regularly traded on an established securities market or the NFFE is a Related Entity of an Entity the stock of which is regularly traded on an established securities market;</w:t>
      </w:r>
    </w:p>
    <w:p w:rsidR="00CD7681" w:rsidRPr="00AD47D3"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07067F">
        <w:rPr>
          <w:rFonts w:ascii="Calibri" w:hAnsi="Calibri" w:cs="Arial"/>
          <w:sz w:val="20"/>
          <w:szCs w:val="20"/>
          <w:lang w:val="en-GB"/>
        </w:rPr>
        <w:t xml:space="preserve">The NFFE is organized in a U.S. Territory and all of the owners of the payee are bona fide residents of that U.S. </w:t>
      </w:r>
      <w:r w:rsidRPr="00AD47D3">
        <w:rPr>
          <w:rFonts w:ascii="Calibri" w:hAnsi="Calibri" w:cs="Arial"/>
          <w:sz w:val="20"/>
          <w:szCs w:val="20"/>
          <w:lang w:val="en-GB"/>
        </w:rPr>
        <w:t>Territory;</w:t>
      </w:r>
    </w:p>
    <w:p w:rsidR="00CD7681" w:rsidRPr="00AD47D3"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AD47D3">
        <w:rPr>
          <w:rFonts w:ascii="Calibri" w:hAnsi="Calibri" w:cs="Arial"/>
          <w:sz w:val="20"/>
          <w:szCs w:val="20"/>
          <w:lang w:val="en-GB"/>
        </w:rPr>
        <w:t xml:space="preserve">The NFFE is a government (other than the U.S. government), a political subdivision of such government (which, for the avoidance of doubt, includes a state, province, county, or municipality), or a public body performing a function of such government or a political subdivision thereof, a government of a U.S. Territory, an international organization, a non-U.S. central bank of issue, or an Entity wholly owned by one or more of the foregoing; </w:t>
      </w:r>
    </w:p>
    <w:p w:rsidR="00CD7681" w:rsidRPr="00AD47D3"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AD47D3">
        <w:rPr>
          <w:rFonts w:ascii="Calibri" w:hAnsi="Calibri" w:cs="Arial"/>
          <w:sz w:val="20"/>
          <w:szCs w:val="20"/>
          <w:lang w:val="en-GB"/>
        </w:rPr>
        <w:t>Substantially all of the activities of the NFFE consist of holding (in whole or in part) the outstanding stock of, or providing financing and services to, one or more subsidiaries that engage in trades or businesses other than the business of a Financial Institution, except that an entity shall not qualify for NFFE status if the entity functions  as an investment fund, such as a private equity fund, venture capital fund, leveraged buyout fund, or any investment vehicle whose purpose is to acquire or fund companies and then hold interests in those companies as capital assets for investment purposes;</w:t>
      </w:r>
    </w:p>
    <w:p w:rsidR="00CD7681" w:rsidRPr="00AD47D3"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AD47D3">
        <w:rPr>
          <w:rFonts w:ascii="Calibri" w:hAnsi="Calibri" w:cs="Arial"/>
          <w:sz w:val="20"/>
          <w:szCs w:val="20"/>
          <w:lang w:val="en-GB"/>
        </w:rPr>
        <w:t>The NFFE is not yet operating a business and has no prior operating history, but is investing capital into assets with the intent to operate a business other than that of a Financial Institution, provided that the NFFE shall not qualify for this exception after the date that is 24 months after the date of the initial organization of the NFFE;</w:t>
      </w:r>
    </w:p>
    <w:p w:rsidR="00CD7681" w:rsidRPr="00AD47D3"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AD47D3">
        <w:rPr>
          <w:rFonts w:ascii="Calibri" w:hAnsi="Calibri" w:cs="Arial"/>
          <w:sz w:val="20"/>
          <w:szCs w:val="20"/>
          <w:lang w:val="en-GB"/>
        </w:rPr>
        <w:t>The NFFE was not a Financial Institution in the past five years, and is in the process of liquidating its assets or is reorganizing with the intent to continue or recommence operations in a business other than that of a Financial Institution;</w:t>
      </w:r>
    </w:p>
    <w:p w:rsidR="00CD7681" w:rsidRPr="00D5073C"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AD47D3">
        <w:rPr>
          <w:rFonts w:ascii="Calibri" w:hAnsi="Calibri" w:cs="Arial"/>
          <w:sz w:val="20"/>
          <w:szCs w:val="20"/>
          <w:lang w:val="en-GB"/>
        </w:rPr>
        <w:t xml:space="preserve">The NFFE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w:t>
      </w:r>
      <w:r w:rsidRPr="00D5073C">
        <w:rPr>
          <w:rFonts w:ascii="Calibri" w:hAnsi="Calibri" w:cs="Arial"/>
          <w:sz w:val="20"/>
          <w:szCs w:val="20"/>
          <w:lang w:val="en-GB"/>
        </w:rPr>
        <w:t>a Financial Institution;</w:t>
      </w:r>
    </w:p>
    <w:p w:rsidR="00CD7681" w:rsidRPr="00D5073C"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D5073C">
        <w:rPr>
          <w:rFonts w:ascii="Calibri" w:hAnsi="Calibri" w:cs="Arial"/>
          <w:sz w:val="20"/>
          <w:szCs w:val="20"/>
          <w:lang w:val="en-GB"/>
        </w:rPr>
        <w:t>The NFFE is an “excepted NFFE” as described in relevant U.S. Treasury Regulations; or</w:t>
      </w:r>
    </w:p>
    <w:p w:rsidR="00CD7681" w:rsidRPr="00D5073C" w:rsidRDefault="00CD7681" w:rsidP="0007067F">
      <w:pPr>
        <w:pStyle w:val="Odsekzoznamu"/>
        <w:numPr>
          <w:ilvl w:val="0"/>
          <w:numId w:val="23"/>
        </w:numPr>
        <w:tabs>
          <w:tab w:val="left" w:pos="709"/>
        </w:tabs>
        <w:autoSpaceDE w:val="0"/>
        <w:autoSpaceDN w:val="0"/>
        <w:adjustRightInd w:val="0"/>
        <w:ind w:left="567" w:right="-1"/>
        <w:jc w:val="both"/>
        <w:rPr>
          <w:rFonts w:ascii="Calibri" w:hAnsi="Calibri" w:cs="Arial"/>
          <w:sz w:val="20"/>
          <w:szCs w:val="20"/>
          <w:lang w:val="en-GB"/>
        </w:rPr>
      </w:pPr>
      <w:r w:rsidRPr="00D5073C">
        <w:rPr>
          <w:rFonts w:ascii="Calibri" w:hAnsi="Calibri" w:cs="Arial"/>
          <w:sz w:val="20"/>
          <w:szCs w:val="20"/>
          <w:lang w:val="en-GB"/>
        </w:rPr>
        <w:t>The NFFE meets all of the following requirements:</w:t>
      </w:r>
    </w:p>
    <w:p w:rsidR="00CD7681" w:rsidRPr="00D5073C" w:rsidRDefault="00CD7681" w:rsidP="00D5073C">
      <w:pPr>
        <w:pStyle w:val="Odsekzoznamu"/>
        <w:numPr>
          <w:ilvl w:val="0"/>
          <w:numId w:val="25"/>
        </w:numPr>
        <w:autoSpaceDE w:val="0"/>
        <w:autoSpaceDN w:val="0"/>
        <w:adjustRightInd w:val="0"/>
        <w:ind w:left="709" w:right="-1" w:hanging="153"/>
        <w:jc w:val="both"/>
        <w:rPr>
          <w:rFonts w:ascii="Calibri" w:hAnsi="Calibri" w:cs="Arial"/>
          <w:sz w:val="20"/>
          <w:szCs w:val="20"/>
          <w:lang w:val="en-GB"/>
        </w:rPr>
      </w:pPr>
      <w:r w:rsidRPr="00D5073C">
        <w:rPr>
          <w:rFonts w:ascii="Calibri" w:hAnsi="Calibri" w:cs="Arial"/>
          <w:sz w:val="20"/>
          <w:szCs w:val="20"/>
          <w:lang w:val="en-GB"/>
        </w:rPr>
        <w:t>It is established and operated in its jurisdiction of residence exclusively for religious, charitable, scientific, artistic, cultural, athletic, or educational purposes; or it is established and operated in its jurisdiction of residence and it is a professional organization, business league, chamber of commerce, labo</w:t>
      </w:r>
      <w:r>
        <w:rPr>
          <w:rFonts w:ascii="Calibri" w:hAnsi="Calibri" w:cs="Arial"/>
          <w:sz w:val="20"/>
          <w:szCs w:val="20"/>
          <w:lang w:val="en-GB"/>
        </w:rPr>
        <w:t>u</w:t>
      </w:r>
      <w:r w:rsidRPr="00D5073C">
        <w:rPr>
          <w:rFonts w:ascii="Calibri" w:hAnsi="Calibri" w:cs="Arial"/>
          <w:sz w:val="20"/>
          <w:szCs w:val="20"/>
          <w:lang w:val="en-GB"/>
        </w:rPr>
        <w:t>r organization, agricultural or horticultural organization, civic league or an organization operated exclusively for the promotion of social welfare;</w:t>
      </w:r>
    </w:p>
    <w:p w:rsidR="00CD7681" w:rsidRPr="00D5073C" w:rsidRDefault="00CD7681" w:rsidP="00D5073C">
      <w:pPr>
        <w:pStyle w:val="Odsekzoznamu"/>
        <w:numPr>
          <w:ilvl w:val="0"/>
          <w:numId w:val="25"/>
        </w:numPr>
        <w:autoSpaceDE w:val="0"/>
        <w:autoSpaceDN w:val="0"/>
        <w:adjustRightInd w:val="0"/>
        <w:ind w:left="709" w:right="-1" w:hanging="153"/>
        <w:jc w:val="both"/>
        <w:rPr>
          <w:rFonts w:ascii="Calibri" w:hAnsi="Calibri" w:cs="Arial"/>
          <w:sz w:val="20"/>
          <w:szCs w:val="20"/>
          <w:lang w:val="en-GB"/>
        </w:rPr>
      </w:pPr>
      <w:r w:rsidRPr="00D5073C">
        <w:rPr>
          <w:rFonts w:ascii="Calibri" w:hAnsi="Calibri" w:cs="Arial"/>
          <w:sz w:val="20"/>
          <w:szCs w:val="20"/>
          <w:lang w:val="en-GB"/>
        </w:rPr>
        <w:t xml:space="preserve">It is exempt from income tax in its jurisdiction of residence; </w:t>
      </w:r>
    </w:p>
    <w:p w:rsidR="00CD7681" w:rsidRPr="00D5073C" w:rsidRDefault="00CD7681" w:rsidP="00D5073C">
      <w:pPr>
        <w:pStyle w:val="Odsekzoznamu"/>
        <w:numPr>
          <w:ilvl w:val="0"/>
          <w:numId w:val="25"/>
        </w:numPr>
        <w:autoSpaceDE w:val="0"/>
        <w:autoSpaceDN w:val="0"/>
        <w:adjustRightInd w:val="0"/>
        <w:ind w:left="709" w:right="-1" w:hanging="153"/>
        <w:jc w:val="both"/>
        <w:rPr>
          <w:rFonts w:ascii="Calibri" w:hAnsi="Calibri" w:cs="Arial"/>
          <w:sz w:val="20"/>
          <w:szCs w:val="20"/>
          <w:lang w:val="en-GB"/>
        </w:rPr>
      </w:pPr>
      <w:r w:rsidRPr="00D5073C">
        <w:rPr>
          <w:rFonts w:ascii="Calibri" w:hAnsi="Calibri" w:cs="Arial"/>
          <w:sz w:val="20"/>
          <w:szCs w:val="20"/>
          <w:lang w:val="en-GB"/>
        </w:rPr>
        <w:t>It has no shareholders or members who have a proprietary or beneficial interest in its income or assets;</w:t>
      </w:r>
    </w:p>
    <w:p w:rsidR="00CD7681" w:rsidRPr="00D5073C" w:rsidRDefault="00CD7681" w:rsidP="00D5073C">
      <w:pPr>
        <w:pStyle w:val="Odsekzoznamu"/>
        <w:numPr>
          <w:ilvl w:val="0"/>
          <w:numId w:val="25"/>
        </w:numPr>
        <w:autoSpaceDE w:val="0"/>
        <w:autoSpaceDN w:val="0"/>
        <w:adjustRightInd w:val="0"/>
        <w:ind w:left="709" w:right="-1" w:hanging="153"/>
        <w:jc w:val="both"/>
        <w:rPr>
          <w:rFonts w:ascii="Calibri" w:hAnsi="Calibri" w:cs="Arial"/>
          <w:sz w:val="20"/>
          <w:szCs w:val="20"/>
          <w:lang w:val="en-GB"/>
        </w:rPr>
      </w:pPr>
      <w:r w:rsidRPr="00D5073C">
        <w:rPr>
          <w:rFonts w:ascii="Calibri" w:hAnsi="Calibri" w:cs="Arial"/>
          <w:sz w:val="20"/>
          <w:szCs w:val="20"/>
          <w:lang w:val="en-GB"/>
        </w:rPr>
        <w:t xml:space="preserve">The applicable laws of the NFFE’s jurisdiction of residence or the NFFE’s formation documents do not permit any income or assets of the NFFE to be distributed to, or applied for the benefit of, a private person or non-charitable Entity other than pursuant to the conduct of the NFFE’s charitable activities, or as payment of reasonable compensation for services rendered, or as payment representing the fair market value of property which the NFFE has purchased; and </w:t>
      </w:r>
    </w:p>
    <w:p w:rsidR="00CD7681" w:rsidRPr="00D5073C" w:rsidRDefault="00CD7681" w:rsidP="00D5073C">
      <w:pPr>
        <w:pStyle w:val="Odsekzoznamu"/>
        <w:numPr>
          <w:ilvl w:val="0"/>
          <w:numId w:val="25"/>
        </w:numPr>
        <w:autoSpaceDE w:val="0"/>
        <w:autoSpaceDN w:val="0"/>
        <w:adjustRightInd w:val="0"/>
        <w:ind w:left="709" w:right="-1" w:hanging="153"/>
        <w:jc w:val="both"/>
        <w:rPr>
          <w:rFonts w:ascii="Calibri" w:hAnsi="Calibri" w:cs="Arial"/>
          <w:sz w:val="20"/>
          <w:szCs w:val="20"/>
          <w:lang w:val="en-GB"/>
        </w:rPr>
      </w:pPr>
      <w:r w:rsidRPr="00D5073C">
        <w:rPr>
          <w:rFonts w:ascii="Calibri" w:hAnsi="Calibri" w:cs="Arial"/>
          <w:sz w:val="20"/>
          <w:szCs w:val="20"/>
          <w:lang w:val="en-GB"/>
        </w:rPr>
        <w:t>The applicable laws of the NFFE’s jurisdiction of residence or the NFFE’s formation documents require that, upon the NFFE’s liquidation or dissolution, all of its assets be distributed to a governmental entity or other non-profit organization, or escheat to the government of the NFFE’s jurisdiction of residence or any political subdivision thereof</w:t>
      </w:r>
    </w:p>
    <w:p w:rsidR="00CD7681" w:rsidRDefault="00CD7681" w:rsidP="003D33BA">
      <w:pPr>
        <w:autoSpaceDE w:val="0"/>
        <w:autoSpaceDN w:val="0"/>
        <w:adjustRightInd w:val="0"/>
        <w:ind w:left="142" w:right="-1" w:firstLine="0"/>
        <w:jc w:val="both"/>
        <w:rPr>
          <w:rFonts w:ascii="Calibri" w:hAnsi="Calibri" w:cs="Arial"/>
          <w:i/>
          <w:sz w:val="20"/>
          <w:szCs w:val="20"/>
        </w:rPr>
      </w:pPr>
      <w:r w:rsidRPr="00CC2D6F">
        <w:rPr>
          <w:rFonts w:ascii="Calibri" w:hAnsi="Calibri" w:cs="Arial"/>
          <w:i/>
          <w:sz w:val="20"/>
          <w:szCs w:val="20"/>
        </w:rPr>
        <w:t xml:space="preserve"> (</w:t>
      </w:r>
      <w:r w:rsidRPr="008443B4">
        <w:rPr>
          <w:rFonts w:ascii="Calibri" w:hAnsi="Calibri" w:cs="Arial"/>
          <w:i/>
          <w:sz w:val="20"/>
          <w:szCs w:val="20"/>
          <w:lang w:val="en-GB"/>
        </w:rPr>
        <w:t>part VI, section B(</w:t>
      </w:r>
      <w:r>
        <w:rPr>
          <w:rFonts w:ascii="Calibri" w:hAnsi="Calibri" w:cs="Arial"/>
          <w:i/>
          <w:sz w:val="20"/>
          <w:szCs w:val="20"/>
          <w:lang w:val="en-GB"/>
        </w:rPr>
        <w:t>4</w:t>
      </w:r>
      <w:r w:rsidRPr="008443B4">
        <w:rPr>
          <w:rFonts w:ascii="Calibri" w:hAnsi="Calibri" w:cs="Arial"/>
          <w:i/>
          <w:sz w:val="20"/>
          <w:szCs w:val="20"/>
          <w:lang w:val="en-GB"/>
        </w:rPr>
        <w:t>) of Annex I of the Agreement between the SR and the USA to Improve International Tax Compliance and to Implement FATCA</w:t>
      </w:r>
      <w:r w:rsidRPr="00CC2D6F">
        <w:rPr>
          <w:rFonts w:ascii="Calibri" w:hAnsi="Calibri" w:cs="Arial"/>
          <w:i/>
          <w:sz w:val="20"/>
          <w:szCs w:val="20"/>
        </w:rPr>
        <w:t>)</w:t>
      </w:r>
    </w:p>
    <w:p w:rsidR="00CD7681" w:rsidRPr="007B0870" w:rsidRDefault="00CD7681" w:rsidP="003D33BA">
      <w:pPr>
        <w:autoSpaceDE w:val="0"/>
        <w:autoSpaceDN w:val="0"/>
        <w:adjustRightInd w:val="0"/>
        <w:ind w:left="142" w:right="-1" w:firstLine="0"/>
        <w:jc w:val="both"/>
        <w:rPr>
          <w:rFonts w:ascii="Calibri" w:hAnsi="Calibri" w:cs="Arial"/>
          <w:i/>
          <w:sz w:val="8"/>
          <w:szCs w:val="8"/>
        </w:rPr>
      </w:pPr>
    </w:p>
  </w:endnote>
  <w:endnote w:id="16">
    <w:p w:rsidR="00CD7681" w:rsidRPr="00DA72EB" w:rsidRDefault="00CD7681" w:rsidP="003D33BA">
      <w:pPr>
        <w:autoSpaceDE w:val="0"/>
        <w:autoSpaceDN w:val="0"/>
        <w:adjustRightInd w:val="0"/>
        <w:ind w:left="142" w:right="-1" w:hanging="142"/>
        <w:jc w:val="both"/>
        <w:rPr>
          <w:rFonts w:ascii="Calibri" w:hAnsi="Calibri"/>
          <w:sz w:val="20"/>
          <w:szCs w:val="20"/>
          <w:lang w:val="en-GB"/>
        </w:rPr>
      </w:pPr>
      <w:r w:rsidRPr="00DA72EB">
        <w:rPr>
          <w:rStyle w:val="Odkaznavysvetlivku"/>
          <w:rFonts w:ascii="Calibri" w:hAnsi="Calibri"/>
          <w:sz w:val="20"/>
          <w:szCs w:val="20"/>
          <w:lang w:val="en-GB"/>
        </w:rPr>
        <w:endnoteRef/>
      </w:r>
      <w:r w:rsidRPr="00DA72EB">
        <w:rPr>
          <w:rFonts w:ascii="Calibri" w:hAnsi="Calibri"/>
          <w:sz w:val="20"/>
          <w:szCs w:val="20"/>
          <w:lang w:val="en-GB"/>
        </w:rPr>
        <w:t xml:space="preserve"> A “</w:t>
      </w:r>
      <w:r w:rsidRPr="00DA72EB">
        <w:rPr>
          <w:rFonts w:ascii="Calibri" w:hAnsi="Calibri"/>
          <w:b/>
          <w:sz w:val="20"/>
          <w:szCs w:val="20"/>
          <w:lang w:val="en-GB"/>
        </w:rPr>
        <w:t>Passive Non-Financial Foreign Entity</w:t>
      </w:r>
      <w:r w:rsidRPr="00DA72EB">
        <w:rPr>
          <w:rFonts w:ascii="Calibri" w:hAnsi="Calibri"/>
          <w:sz w:val="20"/>
          <w:szCs w:val="20"/>
          <w:lang w:val="en-GB"/>
        </w:rPr>
        <w:t xml:space="preserve">” means any NFFE that is not </w:t>
      </w:r>
    </w:p>
    <w:p w:rsidR="00CD7681" w:rsidRPr="00DA72EB" w:rsidRDefault="00CD7681" w:rsidP="00DA72EB">
      <w:pPr>
        <w:pStyle w:val="Odsekzoznamu"/>
        <w:numPr>
          <w:ilvl w:val="0"/>
          <w:numId w:val="27"/>
        </w:numPr>
        <w:autoSpaceDE w:val="0"/>
        <w:autoSpaceDN w:val="0"/>
        <w:adjustRightInd w:val="0"/>
        <w:ind w:left="567" w:right="-1" w:hanging="153"/>
        <w:jc w:val="both"/>
        <w:rPr>
          <w:rFonts w:ascii="Calibri" w:hAnsi="Calibri"/>
          <w:sz w:val="20"/>
          <w:szCs w:val="20"/>
          <w:lang w:val="en-GB"/>
        </w:rPr>
      </w:pPr>
      <w:r w:rsidRPr="00DA72EB">
        <w:rPr>
          <w:rFonts w:ascii="Calibri" w:hAnsi="Calibri"/>
          <w:sz w:val="20"/>
          <w:szCs w:val="20"/>
          <w:lang w:val="en-GB"/>
        </w:rPr>
        <w:t xml:space="preserve">an Active NFFE, or </w:t>
      </w:r>
    </w:p>
    <w:p w:rsidR="00CD7681" w:rsidRPr="00DA72EB" w:rsidRDefault="00CD7681" w:rsidP="00DA72EB">
      <w:pPr>
        <w:pStyle w:val="Odsekzoznamu"/>
        <w:numPr>
          <w:ilvl w:val="0"/>
          <w:numId w:val="27"/>
        </w:numPr>
        <w:autoSpaceDE w:val="0"/>
        <w:autoSpaceDN w:val="0"/>
        <w:adjustRightInd w:val="0"/>
        <w:ind w:left="567" w:right="-1" w:hanging="153"/>
        <w:jc w:val="both"/>
        <w:rPr>
          <w:rFonts w:ascii="Calibri" w:hAnsi="Calibri" w:cs="Arial"/>
          <w:sz w:val="20"/>
          <w:szCs w:val="20"/>
          <w:lang w:val="en-GB"/>
        </w:rPr>
      </w:pPr>
      <w:r w:rsidRPr="00DA72EB">
        <w:rPr>
          <w:rFonts w:ascii="Calibri" w:hAnsi="Calibri"/>
          <w:sz w:val="20"/>
          <w:szCs w:val="20"/>
          <w:lang w:val="en-GB"/>
        </w:rPr>
        <w:t>a withholding foreign partnership or withholding foreign trust pursuant to relevant U.S. Treasury Regulations.</w:t>
      </w:r>
    </w:p>
    <w:p w:rsidR="00CD7681" w:rsidRPr="00DA72EB" w:rsidRDefault="00CD7681" w:rsidP="00DA72EB">
      <w:pPr>
        <w:autoSpaceDE w:val="0"/>
        <w:autoSpaceDN w:val="0"/>
        <w:adjustRightInd w:val="0"/>
        <w:ind w:left="142" w:hanging="142"/>
        <w:rPr>
          <w:rFonts w:ascii="Calibri" w:hAnsi="Calibri" w:cs="Arial"/>
          <w:i/>
          <w:sz w:val="20"/>
          <w:szCs w:val="20"/>
          <w:lang w:val="en-GB"/>
        </w:rPr>
      </w:pPr>
      <w:r w:rsidRPr="00DA72EB">
        <w:rPr>
          <w:rFonts w:ascii="Calibri" w:hAnsi="Calibri" w:cs="Arial"/>
          <w:sz w:val="20"/>
          <w:szCs w:val="20"/>
          <w:lang w:val="en-GB"/>
        </w:rPr>
        <w:tab/>
      </w:r>
      <w:r w:rsidRPr="00DA72EB">
        <w:rPr>
          <w:rFonts w:ascii="Calibri" w:hAnsi="Calibri" w:cs="Arial"/>
          <w:i/>
          <w:sz w:val="20"/>
          <w:szCs w:val="20"/>
          <w:lang w:val="en-GB"/>
        </w:rPr>
        <w:t>(part VI, section B(3) of Annex I of the Agreement between the SR and the USA to Improve International Tax Compliance and to Implement FATCA)</w:t>
      </w:r>
    </w:p>
    <w:p w:rsidR="00CD7681" w:rsidRPr="00DA72EB" w:rsidRDefault="00CD7681" w:rsidP="003D33BA">
      <w:pPr>
        <w:ind w:left="142" w:right="-1" w:firstLine="0"/>
        <w:jc w:val="both"/>
        <w:rPr>
          <w:rFonts w:ascii="Calibri" w:hAnsi="Calibri" w:cs="Arial"/>
          <w:i/>
          <w:sz w:val="8"/>
          <w:szCs w:val="8"/>
          <w:lang w:val="en-GB"/>
        </w:rPr>
      </w:pPr>
    </w:p>
  </w:endnote>
  <w:endnote w:id="17">
    <w:p w:rsidR="00CD7681" w:rsidRDefault="00CD7681" w:rsidP="00860DD2">
      <w:pPr>
        <w:autoSpaceDE w:val="0"/>
        <w:autoSpaceDN w:val="0"/>
        <w:adjustRightInd w:val="0"/>
        <w:ind w:left="142" w:right="-1" w:hanging="142"/>
        <w:jc w:val="both"/>
        <w:rPr>
          <w:rFonts w:ascii="Calibri" w:hAnsi="Calibri"/>
          <w:sz w:val="20"/>
          <w:szCs w:val="20"/>
          <w:lang w:val="en-GB"/>
        </w:rPr>
      </w:pPr>
      <w:r w:rsidRPr="00DA72EB">
        <w:rPr>
          <w:rStyle w:val="Odkaznavysvetlivku"/>
          <w:rFonts w:ascii="Calibri" w:hAnsi="Calibri"/>
          <w:sz w:val="20"/>
          <w:szCs w:val="20"/>
          <w:lang w:val="en-GB"/>
        </w:rPr>
        <w:endnoteRef/>
      </w:r>
      <w:r w:rsidRPr="00DA72EB">
        <w:rPr>
          <w:rFonts w:ascii="Calibri" w:hAnsi="Calibri"/>
          <w:sz w:val="20"/>
          <w:szCs w:val="20"/>
          <w:lang w:val="en-GB"/>
        </w:rPr>
        <w:t xml:space="preserve"> </w:t>
      </w:r>
      <w:r w:rsidR="00860DD2" w:rsidRPr="00860DD2">
        <w:rPr>
          <w:rFonts w:ascii="Calibri" w:hAnsi="Calibri"/>
          <w:sz w:val="20"/>
          <w:szCs w:val="20"/>
          <w:lang w:val="en-GB"/>
        </w:rPr>
        <w:t xml:space="preserve">The Client submits a List of controlling persons (or </w:t>
      </w:r>
      <w:r w:rsidR="00860DD2">
        <w:rPr>
          <w:rFonts w:ascii="Calibri" w:hAnsi="Calibri"/>
          <w:sz w:val="20"/>
          <w:szCs w:val="20"/>
          <w:lang w:val="en-GB"/>
        </w:rPr>
        <w:t>beneficial owners</w:t>
      </w:r>
      <w:r w:rsidR="00860DD2" w:rsidRPr="00860DD2">
        <w:rPr>
          <w:rFonts w:ascii="Calibri" w:hAnsi="Calibri"/>
          <w:sz w:val="20"/>
          <w:szCs w:val="20"/>
          <w:lang w:val="en-GB"/>
        </w:rPr>
        <w:t xml:space="preserve">) exclusively by means of a properly </w:t>
      </w:r>
      <w:r w:rsidR="00860DD2">
        <w:rPr>
          <w:rFonts w:ascii="Calibri" w:hAnsi="Calibri"/>
          <w:sz w:val="20"/>
          <w:szCs w:val="20"/>
          <w:lang w:val="en-GB"/>
        </w:rPr>
        <w:t xml:space="preserve">filled out </w:t>
      </w:r>
      <w:r w:rsidR="00860DD2" w:rsidRPr="00860DD2">
        <w:rPr>
          <w:rFonts w:ascii="Calibri" w:hAnsi="Calibri"/>
          <w:sz w:val="20"/>
          <w:szCs w:val="20"/>
          <w:lang w:val="en-GB"/>
        </w:rPr>
        <w:t>form which has been issued by the CDCP for this purpose and published on the website</w:t>
      </w:r>
      <w:r w:rsidR="00860DD2">
        <w:rPr>
          <w:rFonts w:ascii="Calibri" w:hAnsi="Calibri"/>
          <w:sz w:val="20"/>
          <w:szCs w:val="20"/>
          <w:lang w:val="en-GB"/>
        </w:rPr>
        <w:t>:</w:t>
      </w:r>
    </w:p>
    <w:p w:rsidR="00860DD2" w:rsidRPr="00860DD2" w:rsidRDefault="00860DD2" w:rsidP="00860DD2">
      <w:pPr>
        <w:autoSpaceDE w:val="0"/>
        <w:autoSpaceDN w:val="0"/>
        <w:adjustRightInd w:val="0"/>
        <w:ind w:left="142" w:right="-1" w:hanging="142"/>
        <w:jc w:val="center"/>
        <w:rPr>
          <w:rFonts w:ascii="Calibri" w:hAnsi="Calibri"/>
          <w:b/>
          <w:i/>
          <w:color w:val="4C7563"/>
          <w:sz w:val="20"/>
          <w:szCs w:val="20"/>
          <w:lang w:val="en-GB"/>
        </w:rPr>
      </w:pPr>
      <w:r w:rsidRPr="00860DD2">
        <w:rPr>
          <w:rFonts w:ascii="Calibri" w:hAnsi="Calibri"/>
          <w:b/>
          <w:i/>
          <w:color w:val="4C7563"/>
          <w:sz w:val="20"/>
          <w:szCs w:val="20"/>
          <w:lang w:val="en-GB"/>
        </w:rPr>
        <w:t>https://www.cdcp.sk/en/forms-for-owners-of-account-of-book-entry-securities/</w:t>
      </w:r>
    </w:p>
    <w:p w:rsidR="00860DD2" w:rsidRDefault="00860DD2" w:rsidP="00860DD2">
      <w:pPr>
        <w:autoSpaceDE w:val="0"/>
        <w:autoSpaceDN w:val="0"/>
        <w:adjustRightInd w:val="0"/>
        <w:ind w:left="142" w:right="-1" w:firstLine="0"/>
        <w:jc w:val="both"/>
        <w:rPr>
          <w:rFonts w:ascii="Calibri" w:hAnsi="Calibri"/>
          <w:sz w:val="20"/>
          <w:szCs w:val="20"/>
          <w:lang w:val="en-GB"/>
        </w:rPr>
      </w:pPr>
    </w:p>
    <w:p w:rsidR="00860DD2" w:rsidRDefault="00860DD2" w:rsidP="00860DD2">
      <w:pPr>
        <w:autoSpaceDE w:val="0"/>
        <w:autoSpaceDN w:val="0"/>
        <w:adjustRightInd w:val="0"/>
        <w:ind w:left="142" w:right="-1" w:firstLine="0"/>
        <w:jc w:val="both"/>
        <w:rPr>
          <w:rFonts w:ascii="Calibri" w:hAnsi="Calibri"/>
          <w:sz w:val="20"/>
          <w:szCs w:val="20"/>
          <w:lang w:val="en-GB"/>
        </w:rPr>
      </w:pPr>
      <w:r w:rsidRPr="00860DD2">
        <w:rPr>
          <w:rFonts w:ascii="Calibri" w:hAnsi="Calibri"/>
          <w:sz w:val="20"/>
          <w:szCs w:val="20"/>
          <w:lang w:val="en-GB"/>
        </w:rPr>
        <w:t>The form must be completed and signed in accordance with the explanatory notes contained therein</w:t>
      </w:r>
      <w:r>
        <w:rPr>
          <w:rFonts w:ascii="Calibri" w:hAnsi="Calibri"/>
          <w:sz w:val="20"/>
          <w:szCs w:val="20"/>
          <w:lang w:val="en-GB"/>
        </w:rPr>
        <w:t>.</w:t>
      </w:r>
    </w:p>
    <w:p w:rsidR="006B2760" w:rsidRPr="006B2760" w:rsidRDefault="006B2760" w:rsidP="00860DD2">
      <w:pPr>
        <w:autoSpaceDE w:val="0"/>
        <w:autoSpaceDN w:val="0"/>
        <w:adjustRightInd w:val="0"/>
        <w:ind w:left="142" w:right="-1" w:firstLine="0"/>
        <w:jc w:val="both"/>
        <w:rPr>
          <w:rFonts w:ascii="Calibri" w:hAnsi="Calibri"/>
          <w:sz w:val="8"/>
          <w:szCs w:val="8"/>
          <w:lang w:val="en-GB"/>
        </w:rPr>
      </w:pPr>
    </w:p>
    <w:p w:rsidR="00860DD2" w:rsidRPr="00860DD2" w:rsidRDefault="00860DD2" w:rsidP="00860DD2">
      <w:pPr>
        <w:autoSpaceDE w:val="0"/>
        <w:autoSpaceDN w:val="0"/>
        <w:adjustRightInd w:val="0"/>
        <w:ind w:left="142" w:right="-1" w:firstLine="0"/>
        <w:jc w:val="both"/>
        <w:rPr>
          <w:rFonts w:ascii="Calibri" w:hAnsi="Calibri"/>
          <w:sz w:val="20"/>
          <w:szCs w:val="20"/>
          <w:lang w:val="en-GB"/>
        </w:rPr>
      </w:pPr>
      <w:r w:rsidRPr="00860DD2">
        <w:rPr>
          <w:rFonts w:ascii="Calibri" w:hAnsi="Calibri"/>
          <w:sz w:val="20"/>
          <w:szCs w:val="20"/>
          <w:lang w:val="en-GB"/>
        </w:rPr>
        <w:t>In the case the cli</w:t>
      </w:r>
      <w:r w:rsidR="006B2760">
        <w:rPr>
          <w:rFonts w:ascii="Calibri" w:hAnsi="Calibri"/>
          <w:sz w:val="20"/>
          <w:szCs w:val="20"/>
          <w:lang w:val="en-GB"/>
        </w:rPr>
        <w:t xml:space="preserve">ent is a passive non-financial </w:t>
      </w:r>
      <w:r w:rsidRPr="00860DD2">
        <w:rPr>
          <w:rFonts w:ascii="Calibri" w:hAnsi="Calibri"/>
          <w:sz w:val="20"/>
          <w:szCs w:val="20"/>
          <w:lang w:val="en-GB"/>
        </w:rPr>
        <w:t>entity under Agreement between the Slovak Republic and the United States of America to Improve International Tax Compliance and to Implement FATCA, and also under Act No. 359/2015 Coll., the client must submit only one full List of Controlling Persons.</w:t>
      </w:r>
    </w:p>
    <w:p w:rsidR="00860DD2" w:rsidRPr="00860DD2" w:rsidRDefault="00860DD2" w:rsidP="00860DD2">
      <w:pPr>
        <w:autoSpaceDE w:val="0"/>
        <w:autoSpaceDN w:val="0"/>
        <w:adjustRightInd w:val="0"/>
        <w:ind w:left="142" w:right="-1" w:hanging="142"/>
        <w:jc w:val="both"/>
        <w:rPr>
          <w:rFonts w:ascii="Calibri" w:hAnsi="Calibri" w:cs="Arial"/>
          <w:sz w:val="20"/>
          <w:szCs w:val="20"/>
        </w:rPr>
      </w:pPr>
    </w:p>
    <w:p w:rsidR="00CD7681" w:rsidRPr="00B96CE5" w:rsidRDefault="00CD7681" w:rsidP="003D33BA">
      <w:pPr>
        <w:ind w:left="142" w:right="-1" w:firstLine="0"/>
        <w:jc w:val="both"/>
        <w:rPr>
          <w:rFonts w:ascii="Calibri" w:hAnsi="Calibri" w:cs="Arial"/>
          <w:sz w:val="20"/>
          <w:szCs w:val="20"/>
          <w:lang w:val="en-GB"/>
        </w:rPr>
      </w:pPr>
      <w:r w:rsidRPr="00B96CE5">
        <w:rPr>
          <w:rFonts w:ascii="Calibri" w:hAnsi="Calibri" w:cs="Arial"/>
          <w:b/>
          <w:sz w:val="20"/>
          <w:szCs w:val="20"/>
          <w:lang w:val="en-GB"/>
        </w:rPr>
        <w:t xml:space="preserve">List of Controlling Persons </w:t>
      </w:r>
      <w:r w:rsidRPr="00B96CE5">
        <w:rPr>
          <w:rFonts w:ascii="Calibri" w:hAnsi="Calibri" w:cs="Arial"/>
          <w:sz w:val="20"/>
          <w:szCs w:val="20"/>
          <w:lang w:val="en-GB"/>
        </w:rPr>
        <w:t xml:space="preserve">shall include natural persons and detail on these persons </w:t>
      </w:r>
      <w:r>
        <w:rPr>
          <w:rFonts w:ascii="Calibri" w:hAnsi="Calibri" w:cs="Arial"/>
          <w:sz w:val="20"/>
          <w:szCs w:val="20"/>
          <w:lang w:val="en-GB"/>
        </w:rPr>
        <w:t>as specified below in the</w:t>
      </w:r>
      <w:r w:rsidRPr="00B96CE5">
        <w:rPr>
          <w:rFonts w:ascii="Calibri" w:hAnsi="Calibri" w:cs="Arial"/>
          <w:sz w:val="20"/>
          <w:szCs w:val="20"/>
          <w:lang w:val="en-GB"/>
        </w:rPr>
        <w:t xml:space="preserve"> explanatory notes. </w:t>
      </w:r>
    </w:p>
    <w:p w:rsidR="00CD7681" w:rsidRPr="00CC2D6F" w:rsidRDefault="00CD7681" w:rsidP="003D33BA">
      <w:pPr>
        <w:ind w:left="142" w:right="-1" w:firstLine="0"/>
        <w:jc w:val="both"/>
        <w:rPr>
          <w:rFonts w:ascii="Calibri" w:hAnsi="Calibri" w:cs="Arial"/>
          <w:sz w:val="8"/>
          <w:szCs w:val="8"/>
        </w:rPr>
      </w:pPr>
    </w:p>
  </w:endnote>
  <w:endnote w:id="18">
    <w:p w:rsidR="00CD7681" w:rsidRPr="00B96CE5" w:rsidRDefault="00CD7681" w:rsidP="00B96CE5">
      <w:pPr>
        <w:ind w:left="142" w:right="-1" w:hanging="142"/>
        <w:jc w:val="both"/>
        <w:rPr>
          <w:rFonts w:ascii="Calibri" w:hAnsi="Calibri"/>
          <w:sz w:val="20"/>
          <w:szCs w:val="20"/>
          <w:lang w:val="en-GB"/>
        </w:rPr>
      </w:pPr>
      <w:r w:rsidRPr="00B96CE5">
        <w:rPr>
          <w:rStyle w:val="Odkaznavysvetlivku"/>
          <w:rFonts w:ascii="Calibri" w:hAnsi="Calibri"/>
          <w:sz w:val="20"/>
          <w:szCs w:val="20"/>
          <w:lang w:val="en-GB"/>
        </w:rPr>
        <w:endnoteRef/>
      </w:r>
      <w:r w:rsidRPr="00B96CE5">
        <w:rPr>
          <w:rFonts w:ascii="Calibri" w:hAnsi="Calibri"/>
          <w:sz w:val="20"/>
          <w:szCs w:val="20"/>
          <w:lang w:val="en-GB"/>
        </w:rPr>
        <w:t xml:space="preserve"> an „</w:t>
      </w:r>
      <w:r w:rsidRPr="00B96CE5">
        <w:rPr>
          <w:rFonts w:ascii="Calibri" w:hAnsi="Calibri"/>
          <w:b/>
          <w:sz w:val="20"/>
          <w:szCs w:val="20"/>
          <w:lang w:val="en-GB"/>
        </w:rPr>
        <w:t>Entity is a Related Entity</w:t>
      </w:r>
      <w:r w:rsidRPr="00B96CE5">
        <w:rPr>
          <w:rFonts w:ascii="Calibri" w:hAnsi="Calibri"/>
          <w:sz w:val="20"/>
          <w:szCs w:val="20"/>
          <w:lang w:val="en-GB"/>
        </w:rPr>
        <w:t>“, if</w:t>
      </w:r>
    </w:p>
    <w:p w:rsidR="00CD7681" w:rsidRPr="00B96CE5" w:rsidRDefault="00CD7681" w:rsidP="00B96CE5">
      <w:pPr>
        <w:pStyle w:val="Odsekzoznamu"/>
        <w:numPr>
          <w:ilvl w:val="0"/>
          <w:numId w:val="30"/>
        </w:numPr>
        <w:ind w:left="709" w:right="-1" w:hanging="283"/>
        <w:jc w:val="both"/>
        <w:rPr>
          <w:rFonts w:ascii="Calibri" w:hAnsi="Calibri"/>
          <w:sz w:val="20"/>
          <w:szCs w:val="20"/>
          <w:lang w:val="en-GB"/>
        </w:rPr>
      </w:pPr>
      <w:r w:rsidRPr="00B96CE5">
        <w:rPr>
          <w:rFonts w:ascii="Calibri" w:hAnsi="Calibri"/>
          <w:sz w:val="20"/>
          <w:szCs w:val="20"/>
          <w:lang w:val="en-GB"/>
        </w:rPr>
        <w:t>either Entity controls the other Entity; for this purpose control includes direct or indirect ownership of more than 50 % of the vote and value in an Entity,</w:t>
      </w:r>
    </w:p>
    <w:p w:rsidR="00CD7681" w:rsidRPr="00B96CE5" w:rsidRDefault="00CD7681" w:rsidP="00B96CE5">
      <w:pPr>
        <w:pStyle w:val="Odsekzoznamu"/>
        <w:numPr>
          <w:ilvl w:val="0"/>
          <w:numId w:val="30"/>
        </w:numPr>
        <w:ind w:left="709" w:right="-1" w:hanging="283"/>
        <w:jc w:val="both"/>
        <w:rPr>
          <w:rFonts w:ascii="Calibri" w:hAnsi="Calibri"/>
          <w:sz w:val="20"/>
          <w:szCs w:val="20"/>
          <w:lang w:val="en-GB"/>
        </w:rPr>
      </w:pPr>
      <w:r w:rsidRPr="00B96CE5">
        <w:rPr>
          <w:rFonts w:ascii="Calibri" w:hAnsi="Calibri"/>
          <w:sz w:val="20"/>
          <w:szCs w:val="20"/>
          <w:lang w:val="en-GB"/>
        </w:rPr>
        <w:t>the two Entities are under common control or</w:t>
      </w:r>
    </w:p>
    <w:p w:rsidR="00CD7681" w:rsidRPr="00B96CE5" w:rsidRDefault="00CD7681" w:rsidP="00B96CE5">
      <w:pPr>
        <w:pStyle w:val="Odsekzoznamu"/>
        <w:numPr>
          <w:ilvl w:val="0"/>
          <w:numId w:val="30"/>
        </w:numPr>
        <w:ind w:left="709" w:right="-1" w:hanging="283"/>
        <w:jc w:val="both"/>
        <w:rPr>
          <w:rFonts w:ascii="Calibri" w:hAnsi="Calibri" w:cs="Arial"/>
          <w:sz w:val="20"/>
          <w:szCs w:val="20"/>
          <w:lang w:val="en-GB"/>
        </w:rPr>
      </w:pPr>
      <w:r w:rsidRPr="00B96CE5">
        <w:rPr>
          <w:rFonts w:ascii="Calibri" w:hAnsi="Calibri"/>
          <w:sz w:val="20"/>
          <w:szCs w:val="20"/>
          <w:lang w:val="en-GB"/>
        </w:rPr>
        <w:t>the two Entities are Investment Entities pursuant to Article 3 (2) (c) Point 2 are under common management, and such management fulfils the due diligence obligations of such Investment Entities,</w:t>
      </w:r>
      <w:r w:rsidRPr="00B96CE5">
        <w:rPr>
          <w:rFonts w:ascii="Calibri" w:hAnsi="Calibri" w:cs="Arial"/>
          <w:sz w:val="20"/>
          <w:szCs w:val="20"/>
          <w:lang w:val="en-GB"/>
        </w:rPr>
        <w:t>,</w:t>
      </w:r>
    </w:p>
    <w:p w:rsidR="00CD7681" w:rsidRPr="00B96CE5" w:rsidRDefault="00CD7681" w:rsidP="001F3629">
      <w:pPr>
        <w:pStyle w:val="Odsekzoznamu"/>
        <w:ind w:left="142" w:right="-284" w:firstLine="0"/>
        <w:jc w:val="both"/>
        <w:rPr>
          <w:rFonts w:ascii="Calibri" w:hAnsi="Calibri" w:cs="Arial"/>
          <w:i/>
          <w:color w:val="000000"/>
          <w:sz w:val="20"/>
          <w:szCs w:val="20"/>
          <w:lang w:val="en-GB"/>
        </w:rPr>
      </w:pPr>
      <w:r w:rsidRPr="00B96CE5">
        <w:rPr>
          <w:rFonts w:ascii="Calibri" w:hAnsi="Calibri" w:cs="Arial"/>
          <w:i/>
          <w:sz w:val="20"/>
          <w:szCs w:val="20"/>
          <w:lang w:val="en-GB"/>
        </w:rPr>
        <w:t xml:space="preserve"> (§ 2 (g)</w:t>
      </w:r>
      <w:r w:rsidRPr="00B96CE5">
        <w:rPr>
          <w:rFonts w:ascii="Calibri" w:hAnsi="Calibri" w:cs="Arial"/>
          <w:i/>
          <w:color w:val="000000"/>
          <w:sz w:val="20"/>
          <w:szCs w:val="20"/>
          <w:lang w:val="en-GB"/>
        </w:rPr>
        <w:t xml:space="preserve"> of the act 359/2015 Coll.)</w:t>
      </w:r>
    </w:p>
    <w:p w:rsidR="00CD7681" w:rsidRPr="00EA42DB" w:rsidRDefault="00CD7681" w:rsidP="001F3629">
      <w:pPr>
        <w:pStyle w:val="Textvysvetlivky"/>
        <w:rPr>
          <w:sz w:val="8"/>
          <w:szCs w:val="8"/>
        </w:rPr>
      </w:pPr>
    </w:p>
  </w:endnote>
  <w:endnote w:id="19">
    <w:p w:rsidR="00CD7681" w:rsidRPr="00C54FAE" w:rsidRDefault="00CD7681" w:rsidP="000D338C">
      <w:pPr>
        <w:pStyle w:val="Odsekzoznamu"/>
        <w:ind w:left="142" w:hanging="142"/>
        <w:jc w:val="both"/>
        <w:rPr>
          <w:sz w:val="20"/>
          <w:szCs w:val="20"/>
          <w:lang w:val="en-GB"/>
        </w:rPr>
      </w:pPr>
      <w:r w:rsidRPr="00C54FAE">
        <w:rPr>
          <w:rStyle w:val="Odkaznavysvetlivku"/>
          <w:sz w:val="20"/>
          <w:szCs w:val="20"/>
          <w:lang w:val="en-GB"/>
        </w:rPr>
        <w:endnoteRef/>
      </w:r>
      <w:r w:rsidRPr="00C54FAE">
        <w:rPr>
          <w:sz w:val="20"/>
          <w:szCs w:val="20"/>
          <w:lang w:val="en-GB"/>
        </w:rPr>
        <w:t xml:space="preserve"> „</w:t>
      </w:r>
      <w:r w:rsidRPr="00C54FAE">
        <w:rPr>
          <w:b/>
          <w:sz w:val="20"/>
          <w:szCs w:val="20"/>
          <w:lang w:val="en-GB"/>
        </w:rPr>
        <w:t>Governmental Entity</w:t>
      </w:r>
      <w:r w:rsidRPr="00C54FAE">
        <w:rPr>
          <w:sz w:val="20"/>
          <w:szCs w:val="20"/>
          <w:lang w:val="en-GB"/>
        </w:rPr>
        <w:t>“ means a state authority, territorial self-government authority, Export-Import Bank of the Slovak Republic, Social Insurance Agency, budget organisation or contributory organisation provided that it does not perform business activities, or any wholly owned agency or instrumentality of the State or territorial self-government authority; a Governmental Entity is comprised of the integral parts, controlled entities, and political subdivisions, where</w:t>
      </w:r>
    </w:p>
    <w:p w:rsidR="00CD7681" w:rsidRPr="00C54FAE" w:rsidRDefault="00CD7681" w:rsidP="00C54FAE">
      <w:pPr>
        <w:pStyle w:val="Odsekzoznamu"/>
        <w:numPr>
          <w:ilvl w:val="0"/>
          <w:numId w:val="31"/>
        </w:numPr>
        <w:ind w:left="567" w:right="-1" w:hanging="295"/>
        <w:jc w:val="both"/>
        <w:rPr>
          <w:rFonts w:ascii="Calibri" w:hAnsi="Calibri"/>
          <w:sz w:val="20"/>
          <w:szCs w:val="20"/>
          <w:lang w:val="en-GB"/>
        </w:rPr>
      </w:pPr>
      <w:r w:rsidRPr="00C54FAE">
        <w:rPr>
          <w:rFonts w:ascii="Calibri" w:hAnsi="Calibri"/>
          <w:sz w:val="20"/>
          <w:szCs w:val="20"/>
          <w:lang w:val="en-GB"/>
        </w:rPr>
        <w:t>an integral part of the Slovak Republic means a person, organisation, agency, bureau, fund, instrumentality, or other body, however designated, that constitutes a governing authority of the Slovak Republic and the net earnings of the authority must be credited to its own account or to other accounts of the Governmental Entity, with no portion inuring to the benefit of any private person; an integral part does not include any individual who is a public official or administrator acting in a private or personal capacity,</w:t>
      </w:r>
    </w:p>
    <w:p w:rsidR="00CD7681" w:rsidRPr="00C54FAE" w:rsidRDefault="00CD7681" w:rsidP="00C54FAE">
      <w:pPr>
        <w:pStyle w:val="Odsekzoznamu"/>
        <w:numPr>
          <w:ilvl w:val="0"/>
          <w:numId w:val="31"/>
        </w:numPr>
        <w:ind w:left="567" w:right="-1" w:hanging="295"/>
        <w:jc w:val="both"/>
        <w:rPr>
          <w:rFonts w:ascii="Calibri" w:hAnsi="Calibri"/>
          <w:sz w:val="20"/>
          <w:szCs w:val="20"/>
          <w:lang w:val="en-GB"/>
        </w:rPr>
      </w:pPr>
      <w:r w:rsidRPr="00C54FAE">
        <w:rPr>
          <w:rFonts w:ascii="Calibri" w:hAnsi="Calibri"/>
          <w:sz w:val="20"/>
          <w:szCs w:val="20"/>
          <w:lang w:val="en-GB"/>
        </w:rPr>
        <w:t>a controlled entity means an Entity which is separate in form from the Slovak Republic or which otherwise constitutes a separate juridical entity, provided that</w:t>
      </w:r>
    </w:p>
    <w:p w:rsidR="00CD7681" w:rsidRPr="00C54FAE" w:rsidRDefault="00CD7681" w:rsidP="00C54FAE">
      <w:pPr>
        <w:pStyle w:val="Odsekzoznamu"/>
        <w:ind w:left="709" w:hanging="283"/>
        <w:jc w:val="both"/>
        <w:rPr>
          <w:sz w:val="20"/>
          <w:szCs w:val="20"/>
          <w:lang w:val="en-GB"/>
        </w:rPr>
      </w:pPr>
      <w:r w:rsidRPr="00C54FAE">
        <w:rPr>
          <w:sz w:val="20"/>
          <w:szCs w:val="20"/>
          <w:lang w:val="en-GB"/>
        </w:rPr>
        <w:t>2a. the Entity is wholly owned and controlled by one or more Governmental Entities directly or through one controlling entity or more controlled entities,</w:t>
      </w:r>
    </w:p>
    <w:p w:rsidR="00CD7681" w:rsidRPr="00C54FAE" w:rsidRDefault="00CD7681" w:rsidP="00C54FAE">
      <w:pPr>
        <w:pStyle w:val="Odsekzoznamu"/>
        <w:ind w:left="709" w:hanging="283"/>
        <w:jc w:val="both"/>
        <w:rPr>
          <w:sz w:val="20"/>
          <w:szCs w:val="20"/>
          <w:lang w:val="en-GB"/>
        </w:rPr>
      </w:pPr>
      <w:r w:rsidRPr="00C54FAE">
        <w:rPr>
          <w:sz w:val="20"/>
          <w:szCs w:val="20"/>
          <w:lang w:val="en-GB"/>
        </w:rPr>
        <w:t>2b. the Entity's net earnings are credited to its own account or to the accounts of one or more Governmental Entities, with no portion of its income inuring to the benefit of any private person; and</w:t>
      </w:r>
    </w:p>
    <w:p w:rsidR="00CD7681" w:rsidRPr="00C54FAE" w:rsidRDefault="00CD7681" w:rsidP="00C54FAE">
      <w:pPr>
        <w:pStyle w:val="Odsekzoznamu"/>
        <w:ind w:left="709" w:hanging="283"/>
        <w:jc w:val="both"/>
        <w:rPr>
          <w:lang w:val="en-GB"/>
        </w:rPr>
      </w:pPr>
      <w:r w:rsidRPr="00C54FAE">
        <w:rPr>
          <w:sz w:val="20"/>
          <w:szCs w:val="20"/>
          <w:lang w:val="en-GB"/>
        </w:rPr>
        <w:t>2c. the Entity's assets vest in one or more Governmental Entities upon dissolution,</w:t>
      </w:r>
      <w:r w:rsidRPr="00C54FAE">
        <w:rPr>
          <w:lang w:val="en-GB"/>
        </w:rPr>
        <w:t xml:space="preserve"> </w:t>
      </w:r>
    </w:p>
    <w:p w:rsidR="00CD7681" w:rsidRPr="00C54FAE" w:rsidRDefault="00CD7681" w:rsidP="00C54FAE">
      <w:pPr>
        <w:pStyle w:val="Odsekzoznamu"/>
        <w:numPr>
          <w:ilvl w:val="0"/>
          <w:numId w:val="31"/>
        </w:numPr>
        <w:ind w:left="567" w:right="-1" w:hanging="295"/>
        <w:jc w:val="both"/>
        <w:rPr>
          <w:rFonts w:ascii="Calibri" w:hAnsi="Calibri"/>
          <w:sz w:val="20"/>
          <w:szCs w:val="20"/>
          <w:lang w:val="en-GB"/>
        </w:rPr>
      </w:pPr>
      <w:r w:rsidRPr="00C54FAE">
        <w:rPr>
          <w:rFonts w:ascii="Calibri" w:hAnsi="Calibri"/>
          <w:sz w:val="20"/>
          <w:szCs w:val="20"/>
          <w:lang w:val="en-GB"/>
        </w:rPr>
        <w:t>income does not inure to the benefit of private persons if such persons are the intended beneficiaries of a governmental programme, and the programme activities are performed for the general public with respect to the common welfare or relate to the administration of some phase of government. Notwithstanding the foregoing, however, income is considered to inure to the benefit of private persons if the income is derived from the use of a Governmental Entity to conduct a commercial business, such as a commercial banking business, that provides financial services to private persons,</w:t>
      </w:r>
    </w:p>
    <w:p w:rsidR="00CD7681" w:rsidRPr="00961514" w:rsidRDefault="00CD7681" w:rsidP="00961514">
      <w:pPr>
        <w:pStyle w:val="Odsekzoznamu"/>
        <w:ind w:left="142" w:firstLine="0"/>
        <w:jc w:val="both"/>
        <w:rPr>
          <w:rFonts w:ascii="Calibri" w:hAnsi="Calibri" w:cs="Arial"/>
          <w:i/>
          <w:color w:val="000000"/>
          <w:sz w:val="20"/>
          <w:szCs w:val="20"/>
          <w:lang w:val="en-GB"/>
        </w:rPr>
      </w:pPr>
      <w:r w:rsidRPr="00961514">
        <w:rPr>
          <w:rFonts w:ascii="Calibri" w:hAnsi="Calibri" w:cs="Arial"/>
          <w:i/>
          <w:color w:val="000000"/>
          <w:sz w:val="20"/>
          <w:szCs w:val="20"/>
          <w:lang w:val="en-GB"/>
        </w:rPr>
        <w:t>(§ 4, sec. 2(a) of the act 359/2015 Coll.)</w:t>
      </w:r>
    </w:p>
    <w:p w:rsidR="00CD7681" w:rsidRPr="00961514" w:rsidRDefault="00CD7681" w:rsidP="001F3629">
      <w:pPr>
        <w:pStyle w:val="Textvysvetlivky"/>
        <w:ind w:left="142" w:firstLine="0"/>
        <w:rPr>
          <w:sz w:val="8"/>
          <w:szCs w:val="8"/>
          <w:lang w:val="en-GB"/>
        </w:rPr>
      </w:pPr>
    </w:p>
  </w:endnote>
  <w:endnote w:id="20">
    <w:p w:rsidR="00CD7681" w:rsidRPr="00961514" w:rsidRDefault="00CD7681" w:rsidP="001F3629">
      <w:pPr>
        <w:pStyle w:val="Odsekzoznamu"/>
        <w:ind w:left="142" w:hanging="142"/>
        <w:jc w:val="both"/>
        <w:rPr>
          <w:rFonts w:ascii="Calibri" w:hAnsi="Calibri" w:cs="Arial"/>
          <w:sz w:val="20"/>
          <w:szCs w:val="20"/>
          <w:lang w:val="en-GB"/>
        </w:rPr>
      </w:pPr>
      <w:r w:rsidRPr="00961514">
        <w:rPr>
          <w:rStyle w:val="Odkaznavysvetlivku"/>
          <w:rFonts w:ascii="Calibri" w:hAnsi="Calibri"/>
          <w:sz w:val="20"/>
          <w:szCs w:val="20"/>
          <w:lang w:val="en-GB"/>
        </w:rPr>
        <w:endnoteRef/>
      </w:r>
      <w:r w:rsidRPr="00961514">
        <w:rPr>
          <w:rFonts w:ascii="Calibri" w:hAnsi="Calibri"/>
          <w:sz w:val="20"/>
          <w:szCs w:val="20"/>
          <w:lang w:val="en-GB"/>
        </w:rPr>
        <w:t xml:space="preserve"> </w:t>
      </w:r>
      <w:r w:rsidRPr="00961514">
        <w:rPr>
          <w:rFonts w:ascii="Calibri" w:hAnsi="Calibri" w:cs="Arial"/>
          <w:sz w:val="20"/>
          <w:szCs w:val="20"/>
          <w:lang w:val="en-GB"/>
        </w:rPr>
        <w:t>,,</w:t>
      </w:r>
      <w:r w:rsidRPr="00961514">
        <w:rPr>
          <w:rFonts w:ascii="Calibri" w:hAnsi="Calibri" w:cs="Arial"/>
          <w:b/>
          <w:sz w:val="20"/>
          <w:szCs w:val="20"/>
          <w:lang w:val="en-GB"/>
        </w:rPr>
        <w:t>International Organisation</w:t>
      </w:r>
      <w:r w:rsidRPr="00961514">
        <w:rPr>
          <w:rFonts w:ascii="Calibri" w:hAnsi="Calibri" w:cs="Arial"/>
          <w:sz w:val="20"/>
          <w:szCs w:val="20"/>
          <w:lang w:val="en-GB"/>
        </w:rPr>
        <w:t>“ means any international organisation or wholly owned agency or instrumentality thereof including a supranational organisation that is comprised primarily of States and that has in effect a headquarters or substantially similar agreement with the Slovak Republic and the income of which does not inure to the benefit of private persons.</w:t>
      </w:r>
    </w:p>
    <w:p w:rsidR="00CD7681" w:rsidRPr="00901999" w:rsidRDefault="00CD7681" w:rsidP="001F3629">
      <w:pPr>
        <w:pStyle w:val="Odsekzoznamu"/>
        <w:ind w:left="142" w:firstLine="0"/>
        <w:jc w:val="both"/>
        <w:rPr>
          <w:rFonts w:ascii="Calibri" w:hAnsi="Calibri" w:cs="Arial"/>
          <w:sz w:val="20"/>
          <w:szCs w:val="20"/>
          <w:lang w:val="en-GB"/>
        </w:rPr>
      </w:pPr>
      <w:r w:rsidRPr="00961514">
        <w:rPr>
          <w:rFonts w:ascii="Calibri" w:hAnsi="Calibri" w:cs="Arial"/>
          <w:i/>
          <w:color w:val="000000"/>
          <w:sz w:val="20"/>
          <w:szCs w:val="20"/>
          <w:lang w:val="en-GB"/>
        </w:rPr>
        <w:t xml:space="preserve"> (§ 4, </w:t>
      </w:r>
      <w:r w:rsidRPr="00901999">
        <w:rPr>
          <w:rFonts w:ascii="Calibri" w:hAnsi="Calibri" w:cs="Arial"/>
          <w:i/>
          <w:color w:val="000000"/>
          <w:sz w:val="20"/>
          <w:szCs w:val="20"/>
          <w:lang w:val="en-GB"/>
        </w:rPr>
        <w:t>sec. 2(b) of the act 359/2015 Coll.)</w:t>
      </w:r>
    </w:p>
    <w:p w:rsidR="00CD7681" w:rsidRPr="00901999" w:rsidRDefault="00CD7681" w:rsidP="001F3629">
      <w:pPr>
        <w:pStyle w:val="Textvysvetlivky"/>
        <w:rPr>
          <w:sz w:val="8"/>
          <w:szCs w:val="8"/>
          <w:lang w:val="en-GB"/>
        </w:rPr>
      </w:pPr>
    </w:p>
  </w:endnote>
  <w:endnote w:id="21">
    <w:p w:rsidR="00CD7681" w:rsidRPr="00901999" w:rsidRDefault="00CD7681" w:rsidP="00961514">
      <w:pPr>
        <w:pStyle w:val="Odsekzoznamu"/>
        <w:ind w:left="142" w:hanging="142"/>
        <w:jc w:val="both"/>
        <w:rPr>
          <w:rFonts w:cs="Arial"/>
          <w:sz w:val="20"/>
          <w:szCs w:val="20"/>
          <w:lang w:val="en-GB"/>
        </w:rPr>
      </w:pPr>
      <w:r w:rsidRPr="00901999">
        <w:rPr>
          <w:rStyle w:val="Odkaznavysvetlivku"/>
          <w:lang w:val="en-GB"/>
        </w:rPr>
        <w:endnoteRef/>
      </w:r>
      <w:r w:rsidRPr="00901999">
        <w:rPr>
          <w:lang w:val="en-GB"/>
        </w:rPr>
        <w:t xml:space="preserve"> </w:t>
      </w:r>
      <w:r w:rsidRPr="00901999">
        <w:rPr>
          <w:rFonts w:ascii="Arial" w:hAnsi="Arial" w:cs="Arial"/>
          <w:sz w:val="16"/>
          <w:szCs w:val="16"/>
          <w:lang w:val="en-GB"/>
        </w:rPr>
        <w:t>,,</w:t>
      </w:r>
      <w:r w:rsidRPr="00901999">
        <w:rPr>
          <w:rFonts w:cs="Arial"/>
          <w:b/>
          <w:sz w:val="20"/>
          <w:szCs w:val="20"/>
          <w:lang w:val="en-GB"/>
        </w:rPr>
        <w:t>Financial Institution</w:t>
      </w:r>
      <w:r w:rsidRPr="00901999">
        <w:rPr>
          <w:rFonts w:cs="Arial"/>
          <w:sz w:val="20"/>
          <w:szCs w:val="20"/>
          <w:lang w:val="en-GB"/>
        </w:rPr>
        <w:t>“ means a Custodial Institution, a Depository Institution, an Investment Entity, or a Specified Insurance Company, where</w:t>
      </w:r>
    </w:p>
    <w:p w:rsidR="00CD7681" w:rsidRPr="00901999" w:rsidRDefault="00CD7681" w:rsidP="00901999">
      <w:pPr>
        <w:pStyle w:val="Odsekzoznamu"/>
        <w:ind w:left="284" w:hanging="284"/>
        <w:jc w:val="both"/>
        <w:rPr>
          <w:rFonts w:cs="Arial"/>
          <w:sz w:val="20"/>
          <w:szCs w:val="20"/>
          <w:lang w:val="en-GB"/>
        </w:rPr>
      </w:pPr>
      <w:r w:rsidRPr="00901999">
        <w:rPr>
          <w:rFonts w:cs="Arial"/>
          <w:sz w:val="20"/>
          <w:szCs w:val="20"/>
          <w:lang w:val="en-GB"/>
        </w:rPr>
        <w:t>a) a Custodial Institution means in particular a bank or a foreign bank branch providing administration of securities, central depository, stock exchange and any other Entity that holds, as a substantial portion of its business, Financial Assets for the account of others. An Entity holds Financial Assets for the account of others as a substantial portion of its business if the Entity's gross income attributable to the holding of Financial Assets and related financial services equals or exceeds 20 % of the Entity's gross income during the shorter of:</w:t>
      </w:r>
    </w:p>
    <w:p w:rsidR="00CD7681" w:rsidRPr="00901999" w:rsidRDefault="00CD7681" w:rsidP="00901999">
      <w:pPr>
        <w:pStyle w:val="Odsekzoznamu"/>
        <w:ind w:left="567" w:hanging="283"/>
        <w:jc w:val="both"/>
        <w:rPr>
          <w:rFonts w:cs="Arial"/>
          <w:sz w:val="20"/>
          <w:szCs w:val="20"/>
          <w:lang w:val="en-GB"/>
        </w:rPr>
      </w:pPr>
      <w:r w:rsidRPr="00901999">
        <w:rPr>
          <w:rFonts w:cs="Arial"/>
          <w:sz w:val="20"/>
          <w:szCs w:val="20"/>
          <w:lang w:val="en-GB"/>
        </w:rPr>
        <w:t>1. the three-year period that ends on 31 December or the final day of a non-calendar year accounting period prior to the year in which the determination of the portion of the gross income attributable to the holding of Financial Assets and related financial services is being made, or</w:t>
      </w:r>
    </w:p>
    <w:p w:rsidR="00CD7681" w:rsidRPr="00901999" w:rsidRDefault="00CD7681" w:rsidP="00901999">
      <w:pPr>
        <w:pStyle w:val="Odsekzoznamu"/>
        <w:ind w:left="567" w:hanging="283"/>
        <w:jc w:val="both"/>
        <w:rPr>
          <w:rFonts w:cs="Arial"/>
          <w:sz w:val="20"/>
          <w:szCs w:val="20"/>
          <w:lang w:val="en-GB"/>
        </w:rPr>
      </w:pPr>
      <w:r w:rsidRPr="00901999">
        <w:rPr>
          <w:rFonts w:cs="Arial"/>
          <w:sz w:val="20"/>
          <w:szCs w:val="20"/>
          <w:lang w:val="en-GB"/>
        </w:rPr>
        <w:t>2. the period during which the Entity has been in existence,</w:t>
      </w:r>
    </w:p>
    <w:p w:rsidR="00CD7681" w:rsidRPr="00901999" w:rsidRDefault="00CD7681" w:rsidP="00901999">
      <w:pPr>
        <w:pStyle w:val="Odsekzoznamu"/>
        <w:ind w:left="284" w:hanging="284"/>
        <w:jc w:val="both"/>
        <w:rPr>
          <w:rFonts w:cs="Arial"/>
          <w:sz w:val="20"/>
          <w:szCs w:val="20"/>
          <w:lang w:val="en-GB"/>
        </w:rPr>
      </w:pPr>
      <w:r w:rsidRPr="00901999">
        <w:rPr>
          <w:rFonts w:cs="Arial"/>
          <w:sz w:val="20"/>
          <w:szCs w:val="20"/>
          <w:lang w:val="en-GB"/>
        </w:rPr>
        <w:t>b) a Depository Institution means in particular a bank, foreign bank branch, building savings bank and any other Entity that accepts deposits in the ordinary course of a banking or similar business,</w:t>
      </w:r>
    </w:p>
    <w:p w:rsidR="00CD7681" w:rsidRPr="00901999" w:rsidRDefault="00CD7681" w:rsidP="00901999">
      <w:pPr>
        <w:pStyle w:val="Odsekzoznamu"/>
        <w:ind w:left="284" w:hanging="284"/>
        <w:jc w:val="both"/>
        <w:rPr>
          <w:rFonts w:cs="Arial"/>
          <w:sz w:val="20"/>
          <w:szCs w:val="20"/>
          <w:lang w:val="en-GB"/>
        </w:rPr>
      </w:pPr>
      <w:r w:rsidRPr="00901999">
        <w:rPr>
          <w:rFonts w:cs="Arial"/>
          <w:sz w:val="20"/>
          <w:szCs w:val="20"/>
          <w:lang w:val="en-GB"/>
        </w:rPr>
        <w:t>c) an Investment Entity means in particular a securities trader, foreign securities trader branch, collective investment vehicle, financial agent, financial advisor, bound financial agent and any other Entity</w:t>
      </w:r>
    </w:p>
    <w:p w:rsidR="00CD7681" w:rsidRPr="00901999" w:rsidRDefault="00CD7681" w:rsidP="00901999">
      <w:pPr>
        <w:pStyle w:val="Odsekzoznamu"/>
        <w:ind w:left="426" w:hanging="284"/>
        <w:jc w:val="both"/>
        <w:rPr>
          <w:rFonts w:cs="Arial"/>
          <w:sz w:val="20"/>
          <w:szCs w:val="20"/>
          <w:lang w:val="en-GB"/>
        </w:rPr>
      </w:pPr>
      <w:r w:rsidRPr="00901999">
        <w:rPr>
          <w:rFonts w:cs="Arial"/>
          <w:sz w:val="20"/>
          <w:szCs w:val="20"/>
          <w:lang w:val="en-GB"/>
        </w:rPr>
        <w:t>1. which primarily conducts as a business one or more of the following activities or operations for or on behalf of a customer:</w:t>
      </w:r>
    </w:p>
    <w:p w:rsidR="00CD7681" w:rsidRPr="00901999" w:rsidRDefault="00CD7681" w:rsidP="00901999">
      <w:pPr>
        <w:pStyle w:val="Odsekzoznamu"/>
        <w:ind w:left="851" w:hanging="284"/>
        <w:jc w:val="both"/>
        <w:rPr>
          <w:rFonts w:cs="Arial"/>
          <w:sz w:val="20"/>
          <w:szCs w:val="20"/>
          <w:lang w:val="en-GB"/>
        </w:rPr>
      </w:pPr>
      <w:r w:rsidRPr="00901999">
        <w:rPr>
          <w:rFonts w:cs="Arial"/>
          <w:sz w:val="20"/>
          <w:szCs w:val="20"/>
          <w:lang w:val="en-GB"/>
        </w:rPr>
        <w:t>1a. trading in money market instruments, foreign exchange; exchange, interest rate and index instruments; transferable securities; or commodity futures trading,</w:t>
      </w:r>
    </w:p>
    <w:p w:rsidR="00CD7681" w:rsidRPr="00901999" w:rsidRDefault="00CD7681" w:rsidP="00901999">
      <w:pPr>
        <w:pStyle w:val="Odsekzoznamu"/>
        <w:ind w:left="851" w:hanging="284"/>
        <w:jc w:val="both"/>
        <w:rPr>
          <w:rFonts w:cs="Arial"/>
          <w:sz w:val="20"/>
          <w:szCs w:val="20"/>
          <w:lang w:val="en-GB"/>
        </w:rPr>
      </w:pPr>
      <w:r w:rsidRPr="00901999">
        <w:rPr>
          <w:rFonts w:cs="Arial"/>
          <w:sz w:val="20"/>
          <w:szCs w:val="20"/>
          <w:lang w:val="en-GB"/>
        </w:rPr>
        <w:t>1b. individual and c</w:t>
      </w:r>
      <w:r>
        <w:rPr>
          <w:rFonts w:cs="Arial"/>
          <w:sz w:val="20"/>
          <w:szCs w:val="20"/>
          <w:lang w:val="en-GB"/>
        </w:rPr>
        <w:t>ollective portfolio management,</w:t>
      </w:r>
      <w:r w:rsidRPr="00901999">
        <w:rPr>
          <w:rFonts w:cs="Arial"/>
          <w:sz w:val="20"/>
          <w:szCs w:val="20"/>
          <w:lang w:val="en-GB"/>
        </w:rPr>
        <w:t xml:space="preserve"> or</w:t>
      </w:r>
    </w:p>
    <w:p w:rsidR="00CD7681" w:rsidRDefault="00CD7681" w:rsidP="00901999">
      <w:pPr>
        <w:pStyle w:val="Odsekzoznamu"/>
        <w:ind w:left="851" w:hanging="284"/>
        <w:jc w:val="both"/>
        <w:rPr>
          <w:rFonts w:cs="Arial"/>
          <w:sz w:val="20"/>
          <w:szCs w:val="20"/>
          <w:lang w:val="en-GB"/>
        </w:rPr>
      </w:pPr>
      <w:r w:rsidRPr="00901999">
        <w:rPr>
          <w:rFonts w:cs="Arial"/>
          <w:sz w:val="20"/>
          <w:szCs w:val="20"/>
          <w:lang w:val="en-GB"/>
        </w:rPr>
        <w:t>1c. otherwise investing, administering, or managing Financial Assets or money on behalf of other persons, or</w:t>
      </w:r>
    </w:p>
    <w:p w:rsidR="00CD7681" w:rsidRPr="00901999" w:rsidRDefault="00CD7681" w:rsidP="00901999">
      <w:pPr>
        <w:pStyle w:val="Odsekzoznamu"/>
        <w:ind w:left="426" w:hanging="284"/>
        <w:jc w:val="both"/>
        <w:rPr>
          <w:rFonts w:cs="Arial"/>
          <w:sz w:val="20"/>
          <w:szCs w:val="20"/>
          <w:lang w:val="en-GB"/>
        </w:rPr>
      </w:pPr>
      <w:r w:rsidRPr="00901999">
        <w:rPr>
          <w:rFonts w:cs="Arial"/>
          <w:sz w:val="20"/>
          <w:szCs w:val="20"/>
          <w:lang w:val="en-GB"/>
        </w:rPr>
        <w:t>2. whose gross income is primarily attributable to investing, reinvesting, or trading in Financial Assets, if the Entity is managed by another Entity that is a Depository Institution, a Custodial Institution, a Specified Insurance Company, or an Investment Entity described in Point 1; Entity's gross income means such gross income that is primarily attributable to investing, reinvesting, or trading in Financial Assets if the Entity's gross income attributable to the relevant activities equals or exceeds 50 % of the Entity's gross income during the shorter of:</w:t>
      </w:r>
    </w:p>
    <w:p w:rsidR="00CD7681" w:rsidRPr="00901999" w:rsidRDefault="00CD7681" w:rsidP="00F3560B">
      <w:pPr>
        <w:ind w:left="851" w:hanging="284"/>
        <w:jc w:val="both"/>
        <w:rPr>
          <w:rFonts w:cs="Arial"/>
          <w:sz w:val="20"/>
          <w:szCs w:val="20"/>
          <w:lang w:val="en-GB"/>
        </w:rPr>
      </w:pPr>
      <w:r w:rsidRPr="00901999">
        <w:rPr>
          <w:rFonts w:cs="Arial"/>
          <w:sz w:val="20"/>
          <w:szCs w:val="20"/>
          <w:lang w:val="en-GB"/>
        </w:rPr>
        <w:t>2a. the three-year period ending on 31 December of the year preceding the year in which the determination of the portion of the gross income attributable to investing, reinvesting, or trading in Financial Assets is made, or</w:t>
      </w:r>
    </w:p>
    <w:p w:rsidR="00CD7681" w:rsidRDefault="00CD7681" w:rsidP="00F3560B">
      <w:pPr>
        <w:ind w:left="851" w:hanging="284"/>
        <w:jc w:val="both"/>
        <w:rPr>
          <w:rFonts w:cs="Arial"/>
          <w:sz w:val="20"/>
          <w:szCs w:val="20"/>
          <w:lang w:val="en-GB"/>
        </w:rPr>
      </w:pPr>
      <w:r w:rsidRPr="00901999">
        <w:rPr>
          <w:rFonts w:cs="Arial"/>
          <w:sz w:val="20"/>
          <w:szCs w:val="20"/>
          <w:lang w:val="en-GB"/>
        </w:rPr>
        <w:t>2b. the period during which the Entity has been in existence,</w:t>
      </w:r>
    </w:p>
    <w:p w:rsidR="00CD7681" w:rsidRPr="00901999" w:rsidRDefault="00CD7681" w:rsidP="00F3560B">
      <w:pPr>
        <w:pStyle w:val="Odsekzoznamu"/>
        <w:ind w:left="284" w:hanging="284"/>
        <w:jc w:val="both"/>
        <w:rPr>
          <w:rFonts w:cs="Arial"/>
          <w:sz w:val="20"/>
          <w:szCs w:val="20"/>
          <w:lang w:val="en-GB"/>
        </w:rPr>
      </w:pPr>
      <w:r w:rsidRPr="00F3560B">
        <w:rPr>
          <w:rFonts w:cs="Arial"/>
          <w:sz w:val="20"/>
          <w:szCs w:val="20"/>
          <w:lang w:val="en-GB"/>
        </w:rPr>
        <w:t>d) a Specified Insurance Company means in particular an insurance company, insurance company branch from other Member State, foreign insurance company branch, reinsurance company, reinsurance company branch from other Member State, foreign reinsurance company branch and any other Entity that is an insurance company or the holding company of an insurance company which issues, or is obligated to make payments with respect to, a Cash Value Insurance Contract or an Annuity Contract.</w:t>
      </w:r>
    </w:p>
    <w:p w:rsidR="00CD7681" w:rsidRPr="00026EEE" w:rsidRDefault="00CD7681" w:rsidP="00D91A96">
      <w:pPr>
        <w:pStyle w:val="Odsekzoznamu"/>
        <w:ind w:left="284" w:firstLine="0"/>
        <w:jc w:val="both"/>
        <w:rPr>
          <w:rFonts w:cs="Arial"/>
          <w:sz w:val="20"/>
          <w:szCs w:val="20"/>
          <w:lang w:val="en-GB"/>
        </w:rPr>
      </w:pPr>
      <w:r w:rsidRPr="00EA42DB">
        <w:rPr>
          <w:rFonts w:cs="Arial"/>
          <w:i/>
          <w:sz w:val="20"/>
          <w:szCs w:val="20"/>
        </w:rPr>
        <w:t xml:space="preserve"> (</w:t>
      </w:r>
      <w:r w:rsidRPr="00961514">
        <w:rPr>
          <w:rFonts w:ascii="Calibri" w:hAnsi="Calibri" w:cs="Arial"/>
          <w:i/>
          <w:color w:val="000000"/>
          <w:sz w:val="20"/>
          <w:szCs w:val="20"/>
          <w:lang w:val="en-GB"/>
        </w:rPr>
        <w:t xml:space="preserve">§ </w:t>
      </w:r>
      <w:r>
        <w:rPr>
          <w:rFonts w:ascii="Calibri" w:hAnsi="Calibri" w:cs="Arial"/>
          <w:i/>
          <w:color w:val="000000"/>
          <w:sz w:val="20"/>
          <w:szCs w:val="20"/>
          <w:lang w:val="en-GB"/>
        </w:rPr>
        <w:t xml:space="preserve">3 </w:t>
      </w:r>
      <w:r w:rsidRPr="00901999">
        <w:rPr>
          <w:rFonts w:ascii="Calibri" w:hAnsi="Calibri" w:cs="Arial"/>
          <w:i/>
          <w:color w:val="000000"/>
          <w:sz w:val="20"/>
          <w:szCs w:val="20"/>
          <w:lang w:val="en-GB"/>
        </w:rPr>
        <w:t>(</w:t>
      </w:r>
      <w:r>
        <w:rPr>
          <w:rFonts w:ascii="Calibri" w:hAnsi="Calibri" w:cs="Arial"/>
          <w:i/>
          <w:color w:val="000000"/>
          <w:sz w:val="20"/>
          <w:szCs w:val="20"/>
          <w:lang w:val="en-GB"/>
        </w:rPr>
        <w:t>2</w:t>
      </w:r>
      <w:r w:rsidRPr="00901999">
        <w:rPr>
          <w:rFonts w:ascii="Calibri" w:hAnsi="Calibri" w:cs="Arial"/>
          <w:i/>
          <w:color w:val="000000"/>
          <w:sz w:val="20"/>
          <w:szCs w:val="20"/>
          <w:lang w:val="en-GB"/>
        </w:rPr>
        <w:t xml:space="preserve">) of the </w:t>
      </w:r>
      <w:r w:rsidRPr="00026EEE">
        <w:rPr>
          <w:rFonts w:ascii="Calibri" w:hAnsi="Calibri" w:cs="Arial"/>
          <w:i/>
          <w:color w:val="000000"/>
          <w:sz w:val="20"/>
          <w:szCs w:val="20"/>
          <w:lang w:val="en-GB"/>
        </w:rPr>
        <w:t>act 359/2015 Coll.</w:t>
      </w:r>
      <w:r w:rsidRPr="00026EEE">
        <w:rPr>
          <w:rFonts w:cs="Arial"/>
          <w:i/>
          <w:color w:val="000000"/>
          <w:sz w:val="20"/>
          <w:szCs w:val="20"/>
          <w:lang w:val="en-GB"/>
        </w:rPr>
        <w:t>)</w:t>
      </w:r>
    </w:p>
    <w:p w:rsidR="00CD7681" w:rsidRPr="00026EEE" w:rsidRDefault="00CD7681" w:rsidP="001F3629">
      <w:pPr>
        <w:pStyle w:val="Textvysvetlivky"/>
        <w:ind w:left="142" w:hanging="142"/>
        <w:rPr>
          <w:sz w:val="8"/>
          <w:szCs w:val="8"/>
          <w:lang w:val="en-GB"/>
        </w:rPr>
      </w:pPr>
    </w:p>
  </w:endnote>
  <w:endnote w:id="22">
    <w:p w:rsidR="00CD7681" w:rsidRPr="00026EEE" w:rsidRDefault="00CD7681" w:rsidP="00EB48E4">
      <w:pPr>
        <w:pStyle w:val="Odsekzoznamu"/>
        <w:ind w:left="142" w:right="-1" w:hanging="142"/>
        <w:jc w:val="both"/>
        <w:rPr>
          <w:rFonts w:ascii="Calibri" w:hAnsi="Calibri" w:cs="Arial"/>
          <w:sz w:val="20"/>
          <w:szCs w:val="20"/>
          <w:lang w:val="en-GB"/>
        </w:rPr>
      </w:pPr>
      <w:r w:rsidRPr="00026EEE">
        <w:rPr>
          <w:rStyle w:val="Odkaznavysvetlivku"/>
          <w:rFonts w:ascii="Calibri" w:hAnsi="Calibri"/>
          <w:sz w:val="20"/>
          <w:szCs w:val="20"/>
          <w:lang w:val="en-GB"/>
        </w:rPr>
        <w:endnoteRef/>
      </w:r>
      <w:r w:rsidRPr="00026EEE">
        <w:rPr>
          <w:rFonts w:ascii="Calibri" w:hAnsi="Calibri"/>
          <w:sz w:val="20"/>
          <w:szCs w:val="20"/>
          <w:lang w:val="en-GB"/>
        </w:rPr>
        <w:t xml:space="preserve"> </w:t>
      </w:r>
      <w:r w:rsidRPr="00026EEE">
        <w:rPr>
          <w:rFonts w:ascii="Calibri" w:hAnsi="Calibri" w:cs="Arial"/>
          <w:sz w:val="20"/>
          <w:szCs w:val="20"/>
          <w:lang w:val="en-GB"/>
        </w:rPr>
        <w:t>,,</w:t>
      </w:r>
      <w:r w:rsidRPr="00026EEE">
        <w:rPr>
          <w:rFonts w:ascii="Calibri" w:hAnsi="Calibri" w:cs="Arial"/>
          <w:b/>
          <w:sz w:val="20"/>
          <w:szCs w:val="20"/>
          <w:lang w:val="en-GB"/>
        </w:rPr>
        <w:t>Active Non-Financial E</w:t>
      </w:r>
      <w:r>
        <w:rPr>
          <w:rFonts w:ascii="Calibri" w:hAnsi="Calibri" w:cs="Arial"/>
          <w:b/>
          <w:sz w:val="20"/>
          <w:szCs w:val="20"/>
          <w:lang w:val="en-GB"/>
        </w:rPr>
        <w:t>ntit</w:t>
      </w:r>
      <w:r w:rsidRPr="00026EEE">
        <w:rPr>
          <w:rFonts w:ascii="Calibri" w:hAnsi="Calibri" w:cs="Arial"/>
          <w:b/>
          <w:sz w:val="20"/>
          <w:szCs w:val="20"/>
          <w:lang w:val="en-GB"/>
        </w:rPr>
        <w:t>y</w:t>
      </w:r>
      <w:r w:rsidRPr="00026EEE">
        <w:rPr>
          <w:rFonts w:ascii="Calibri" w:hAnsi="Calibri" w:cs="Arial"/>
          <w:sz w:val="20"/>
          <w:szCs w:val="20"/>
          <w:lang w:val="en-GB"/>
        </w:rPr>
        <w:t>“ means any NFE that meets any of the following criteria:</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2a. less than 50 % of the NFE's gross income for the preceding calendar year or other appropriate reporting period is passive income and less than 50 % of the assets held by the NFE during the preceding calendar year or other appropriate reporting period are assets that produce or are held for the production of passive income,</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2b. the stock of the NFE is regularly traded on a regulated securities market or the NFE is a Related Entity of an Entity the stock of which is regularly traded on a regulated securities market,</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2c. the NFE is a Governmental Entity, an International Organisation, a Central Bank, or an Entity wholly owned by one or more of the foregoing,</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2d. substantially all of the activities of the NFE consist of holding (in whole or in part) the outstanding stock of, or providing financing and services to, one or more subsidiaries that engage in trades or businesses other than the business of a Financial Institution, except that an Entity does not qualify for this status if the Entity functions (or holds itself out) as an investment fund, such as a private equity fund, venture capital fund, leveraged buyout fund, or any investment vehicle whose purpose is to acquire or fund companies and then hold interests in those companies as capital assets for investment purposes,</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2e. the NFE is not yet operating a business and has no prior operating history, but is investing capital into assets with the intent to operate a business other than that of a Financial Institution, provided that the NFE does not qualify for this exception after the date that is 24 months after the date of the initial organisation of the NFE,</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2f. the NFE was not a Financial Institution in the past five years, and is in the process of liquidating its assets or is reorganising with the intent to continue or recommence operations in a business other than that of a Financial Institution,</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2g. the NFE primarily engages in financing and hedging transactions with, or for, Related Entities that are not Financial Institutions, and does not provide financing or hedging services to any Entity that is not a Related Entity, provided that the group of any such Related Entities is primarily engaged in a business other than that of a Financial Institution; or</w:t>
      </w:r>
    </w:p>
    <w:p w:rsidR="00CD7681" w:rsidRPr="00026EEE" w:rsidRDefault="00CD7681" w:rsidP="00EB48E4">
      <w:pPr>
        <w:pStyle w:val="Odsekzoznamu"/>
        <w:ind w:left="426" w:right="-1" w:hanging="284"/>
        <w:jc w:val="both"/>
        <w:rPr>
          <w:rFonts w:ascii="Calibri" w:hAnsi="Calibri" w:cs="Arial"/>
          <w:sz w:val="20"/>
          <w:szCs w:val="20"/>
          <w:lang w:val="en-GB"/>
        </w:rPr>
      </w:pPr>
      <w:r w:rsidRPr="00026EEE">
        <w:rPr>
          <w:rFonts w:ascii="Calibri" w:hAnsi="Calibri" w:cs="Arial"/>
          <w:sz w:val="20"/>
          <w:szCs w:val="20"/>
          <w:lang w:val="en-GB"/>
        </w:rPr>
        <w:t>2h. the NFE meets all of the following requirements:</w:t>
      </w:r>
    </w:p>
    <w:p w:rsidR="00CD7681" w:rsidRPr="00026EEE" w:rsidRDefault="00CD7681" w:rsidP="00EB48E4">
      <w:pPr>
        <w:pStyle w:val="Odsekzoznamu"/>
        <w:ind w:left="709" w:right="-1" w:hanging="425"/>
        <w:jc w:val="both"/>
        <w:rPr>
          <w:rFonts w:ascii="Calibri" w:hAnsi="Calibri" w:cs="Arial"/>
          <w:sz w:val="20"/>
          <w:szCs w:val="20"/>
          <w:lang w:val="en-GB"/>
        </w:rPr>
      </w:pPr>
      <w:r w:rsidRPr="00026EEE">
        <w:rPr>
          <w:rFonts w:ascii="Calibri" w:hAnsi="Calibri" w:cs="Arial"/>
          <w:sz w:val="20"/>
          <w:szCs w:val="20"/>
          <w:lang w:val="en-GB"/>
        </w:rPr>
        <w:t>2ha. it is established and operated in its Member State of residence or Contracting State of residence exclusively for religious, charitable, scientific, artistic, cultural, athletic, or educational purposes; or it is established and operated in its Member State of residence or Contracting State of residence and it is a professional organisation, business league, chamber of commerce, labour organisation, agricultural or horticultural organisation, civic league or an organisation operated exclusively for the promotion of social welfare,</w:t>
      </w:r>
    </w:p>
    <w:p w:rsidR="00CD7681" w:rsidRPr="00026EEE" w:rsidRDefault="00CD7681" w:rsidP="00EB48E4">
      <w:pPr>
        <w:pStyle w:val="Odsekzoznamu"/>
        <w:ind w:left="709" w:right="-1" w:hanging="425"/>
        <w:jc w:val="both"/>
        <w:rPr>
          <w:rFonts w:ascii="Calibri" w:hAnsi="Calibri" w:cs="Arial"/>
          <w:sz w:val="20"/>
          <w:szCs w:val="20"/>
          <w:lang w:val="en-GB"/>
        </w:rPr>
      </w:pPr>
      <w:r w:rsidRPr="00026EEE">
        <w:rPr>
          <w:rFonts w:ascii="Calibri" w:hAnsi="Calibri" w:cs="Arial"/>
          <w:sz w:val="20"/>
          <w:szCs w:val="20"/>
          <w:lang w:val="en-GB"/>
        </w:rPr>
        <w:t>2hb. it is exempt from income tax in its Member State of residence or Contracting State of residence,</w:t>
      </w:r>
    </w:p>
    <w:p w:rsidR="00CD7681" w:rsidRPr="00026EEE" w:rsidRDefault="00CD7681" w:rsidP="00EB48E4">
      <w:pPr>
        <w:pStyle w:val="Odsekzoznamu"/>
        <w:ind w:left="709" w:right="-1" w:hanging="425"/>
        <w:jc w:val="both"/>
        <w:rPr>
          <w:rFonts w:ascii="Calibri" w:hAnsi="Calibri" w:cs="Arial"/>
          <w:sz w:val="20"/>
          <w:szCs w:val="20"/>
          <w:lang w:val="en-GB"/>
        </w:rPr>
      </w:pPr>
      <w:r w:rsidRPr="00026EEE">
        <w:rPr>
          <w:rFonts w:ascii="Calibri" w:hAnsi="Calibri" w:cs="Arial"/>
          <w:sz w:val="20"/>
          <w:szCs w:val="20"/>
          <w:lang w:val="en-GB"/>
        </w:rPr>
        <w:t>2hc. it has no shareholders or members who have a proprietary or beneficial interest in its income or assets,</w:t>
      </w:r>
    </w:p>
    <w:p w:rsidR="00CD7681" w:rsidRPr="00026EEE" w:rsidRDefault="00CD7681" w:rsidP="00EB48E4">
      <w:pPr>
        <w:pStyle w:val="Odsekzoznamu"/>
        <w:ind w:left="709" w:right="-1" w:hanging="425"/>
        <w:jc w:val="both"/>
        <w:rPr>
          <w:rFonts w:ascii="Calibri" w:hAnsi="Calibri" w:cs="Arial"/>
          <w:sz w:val="20"/>
          <w:szCs w:val="20"/>
          <w:lang w:val="en-GB"/>
        </w:rPr>
      </w:pPr>
      <w:r w:rsidRPr="00026EEE">
        <w:rPr>
          <w:rFonts w:ascii="Calibri" w:hAnsi="Calibri" w:cs="Arial"/>
          <w:sz w:val="20"/>
          <w:szCs w:val="20"/>
          <w:lang w:val="en-GB"/>
        </w:rPr>
        <w:t>2hd. the applicable laws of the NFE's Member State of residence or Contracting State of residence or the NFE's formation documents do not permit any income or assets of the NFE to be distributed to, or applied for the benefit of, a private person or non-charitable Entity other than pursuant to the conduct of the NFE's charitable activities, or as payment of reasonable compensation for services rendered, or as payment representing the fair market value of property which the NFE has purchased,</w:t>
      </w:r>
    </w:p>
    <w:p w:rsidR="00CD7681" w:rsidRPr="00026EEE" w:rsidRDefault="00CD7681" w:rsidP="00EB48E4">
      <w:pPr>
        <w:pStyle w:val="Odsekzoznamu"/>
        <w:ind w:left="709" w:right="-1" w:hanging="425"/>
        <w:jc w:val="both"/>
        <w:rPr>
          <w:rFonts w:ascii="Calibri" w:hAnsi="Calibri" w:cs="Arial"/>
          <w:sz w:val="20"/>
          <w:szCs w:val="20"/>
          <w:lang w:val="en-GB"/>
        </w:rPr>
      </w:pPr>
      <w:r w:rsidRPr="00026EEE">
        <w:rPr>
          <w:rFonts w:ascii="Calibri" w:hAnsi="Calibri" w:cs="Arial"/>
          <w:sz w:val="20"/>
          <w:szCs w:val="20"/>
          <w:lang w:val="en-GB"/>
        </w:rPr>
        <w:t>2he. the applicable laws of the NFE's Member State of residence or Contracting State of residence or the NFE's formation documents require that, upon the NFE's liquidation or dissolution, all of its assets be distributed to a Governmental Entity or other non-profit organisation, or escheat to the government of the NFE's Member State of residence or Contracting State of residence or any political subdivision thereof.</w:t>
      </w:r>
    </w:p>
    <w:p w:rsidR="00CD7681" w:rsidRPr="00026EEE" w:rsidRDefault="00CD7681" w:rsidP="00EB48E4">
      <w:pPr>
        <w:pStyle w:val="Odsekzoznamu"/>
        <w:ind w:left="142" w:right="-1" w:hanging="142"/>
        <w:jc w:val="both"/>
        <w:rPr>
          <w:rFonts w:ascii="Calibri" w:hAnsi="Calibri" w:cs="Arial"/>
          <w:i/>
          <w:color w:val="000000"/>
          <w:sz w:val="20"/>
          <w:szCs w:val="20"/>
          <w:lang w:val="en-GB"/>
        </w:rPr>
      </w:pPr>
      <w:r w:rsidRPr="00026EEE">
        <w:rPr>
          <w:rFonts w:ascii="Calibri" w:hAnsi="Calibri" w:cs="Arial"/>
          <w:i/>
          <w:sz w:val="20"/>
          <w:szCs w:val="20"/>
          <w:lang w:val="en-GB"/>
        </w:rPr>
        <w:t xml:space="preserve"> (§</w:t>
      </w:r>
      <w:r w:rsidRPr="00026EEE">
        <w:rPr>
          <w:rFonts w:ascii="Calibri" w:hAnsi="Calibri" w:cs="Arial"/>
          <w:i/>
          <w:color w:val="000000"/>
          <w:sz w:val="20"/>
          <w:szCs w:val="20"/>
          <w:lang w:val="en-GB"/>
        </w:rPr>
        <w:t>6 (2)(c)</w:t>
      </w:r>
      <w:r>
        <w:rPr>
          <w:rFonts w:ascii="Calibri" w:hAnsi="Calibri" w:cs="Arial"/>
          <w:i/>
          <w:color w:val="000000"/>
          <w:sz w:val="20"/>
          <w:szCs w:val="20"/>
          <w:lang w:val="en-GB"/>
        </w:rPr>
        <w:t xml:space="preserve"> point 2</w:t>
      </w:r>
      <w:r w:rsidRPr="00026EEE">
        <w:rPr>
          <w:rFonts w:ascii="Calibri" w:hAnsi="Calibri" w:cs="Arial"/>
          <w:i/>
          <w:color w:val="000000"/>
          <w:sz w:val="20"/>
          <w:szCs w:val="20"/>
          <w:lang w:val="en-GB"/>
        </w:rPr>
        <w:t xml:space="preserve"> of the act 359/2015 Coll.)</w:t>
      </w:r>
    </w:p>
    <w:p w:rsidR="00CD7681" w:rsidRPr="00E621CF" w:rsidRDefault="00CD7681" w:rsidP="00EB48E4">
      <w:pPr>
        <w:pStyle w:val="Textvysvetlivky"/>
        <w:ind w:right="-1"/>
        <w:rPr>
          <w:sz w:val="8"/>
          <w:szCs w:val="8"/>
          <w:lang w:val="en-GB"/>
        </w:rPr>
      </w:pPr>
    </w:p>
  </w:endnote>
  <w:endnote w:id="23">
    <w:p w:rsidR="00CD7681" w:rsidRPr="00E621CF" w:rsidRDefault="00CD7681" w:rsidP="001F3629">
      <w:pPr>
        <w:ind w:left="142" w:hanging="142"/>
        <w:jc w:val="both"/>
        <w:rPr>
          <w:rFonts w:cs="Arial"/>
          <w:sz w:val="20"/>
          <w:szCs w:val="20"/>
          <w:lang w:val="en-GB"/>
        </w:rPr>
      </w:pPr>
      <w:r w:rsidRPr="00E621CF">
        <w:rPr>
          <w:rStyle w:val="Odkaznavysvetlivku"/>
          <w:sz w:val="20"/>
          <w:szCs w:val="20"/>
          <w:lang w:val="en-GB"/>
        </w:rPr>
        <w:endnoteRef/>
      </w:r>
      <w:r w:rsidRPr="00E621CF">
        <w:rPr>
          <w:sz w:val="20"/>
          <w:szCs w:val="20"/>
          <w:lang w:val="en-GB"/>
        </w:rPr>
        <w:t xml:space="preserve"> </w:t>
      </w:r>
      <w:r w:rsidRPr="00E621CF">
        <w:rPr>
          <w:rFonts w:cs="Arial"/>
          <w:sz w:val="20"/>
          <w:szCs w:val="20"/>
          <w:lang w:val="en-GB"/>
        </w:rPr>
        <w:t>,,</w:t>
      </w:r>
      <w:r w:rsidRPr="00E621CF">
        <w:rPr>
          <w:rFonts w:cs="Arial"/>
          <w:b/>
          <w:sz w:val="20"/>
          <w:szCs w:val="20"/>
          <w:lang w:val="en-GB"/>
        </w:rPr>
        <w:t>Passive Non-Financial Entity</w:t>
      </w:r>
      <w:r w:rsidRPr="00E621CF">
        <w:rPr>
          <w:rFonts w:cs="Arial"/>
          <w:sz w:val="20"/>
          <w:szCs w:val="20"/>
          <w:lang w:val="en-GB"/>
        </w:rPr>
        <w:t>“ means any NFE that is not an Active NFE or an Investment Entity described in Article 3 (2) (c) Point 2 that is not a Financial Institution from a Member State or from a Contracting State,</w:t>
      </w:r>
    </w:p>
    <w:p w:rsidR="00CD7681" w:rsidRPr="00E621CF" w:rsidRDefault="00CD7681" w:rsidP="001F3629">
      <w:pPr>
        <w:pStyle w:val="Odsekzoznamu"/>
        <w:ind w:left="142" w:right="-284" w:firstLine="0"/>
        <w:jc w:val="both"/>
        <w:rPr>
          <w:rFonts w:cs="Arial"/>
          <w:i/>
          <w:color w:val="000000"/>
          <w:sz w:val="20"/>
          <w:szCs w:val="20"/>
          <w:lang w:val="en-GB"/>
        </w:rPr>
      </w:pPr>
      <w:r w:rsidRPr="00E621CF">
        <w:rPr>
          <w:rFonts w:cs="Arial"/>
          <w:i/>
          <w:sz w:val="20"/>
          <w:szCs w:val="20"/>
          <w:lang w:val="en-GB"/>
        </w:rPr>
        <w:t xml:space="preserve"> (</w:t>
      </w:r>
      <w:r w:rsidRPr="00E621CF">
        <w:rPr>
          <w:rFonts w:ascii="Calibri" w:hAnsi="Calibri" w:cs="Arial"/>
          <w:i/>
          <w:sz w:val="20"/>
          <w:szCs w:val="20"/>
          <w:lang w:val="en-GB"/>
        </w:rPr>
        <w:t>§</w:t>
      </w:r>
      <w:r w:rsidRPr="00E621CF">
        <w:rPr>
          <w:rFonts w:ascii="Calibri" w:hAnsi="Calibri" w:cs="Arial"/>
          <w:i/>
          <w:color w:val="000000"/>
          <w:sz w:val="20"/>
          <w:szCs w:val="20"/>
          <w:lang w:val="en-GB"/>
        </w:rPr>
        <w:t>6 (2)(c) Point 1 of the act 359/2015 Coll.</w:t>
      </w:r>
      <w:r w:rsidRPr="00E621CF">
        <w:rPr>
          <w:rFonts w:cs="Arial"/>
          <w:i/>
          <w:color w:val="000000"/>
          <w:sz w:val="20"/>
          <w:szCs w:val="20"/>
          <w:lang w:val="en-GB"/>
        </w:rPr>
        <w:t>)</w:t>
      </w:r>
    </w:p>
    <w:p w:rsidR="00CD7681" w:rsidRPr="00E621CF" w:rsidRDefault="00CD7681" w:rsidP="001F3629">
      <w:pPr>
        <w:pStyle w:val="Textvysvetlivky"/>
        <w:rPr>
          <w:sz w:val="8"/>
          <w:szCs w:val="8"/>
          <w:lang w:val="en-GB"/>
        </w:rPr>
      </w:pPr>
    </w:p>
  </w:endnote>
  <w:endnote w:id="24">
    <w:p w:rsidR="006B2760" w:rsidRDefault="00CD7681" w:rsidP="006B2760">
      <w:pPr>
        <w:autoSpaceDE w:val="0"/>
        <w:autoSpaceDN w:val="0"/>
        <w:adjustRightInd w:val="0"/>
        <w:ind w:left="142" w:right="-1" w:hanging="142"/>
        <w:jc w:val="both"/>
        <w:rPr>
          <w:rFonts w:ascii="Calibri" w:hAnsi="Calibri"/>
          <w:sz w:val="20"/>
          <w:szCs w:val="20"/>
          <w:lang w:val="en-GB"/>
        </w:rPr>
      </w:pPr>
      <w:r w:rsidRPr="00E621CF">
        <w:rPr>
          <w:rStyle w:val="Odkaznavysvetlivku"/>
          <w:rFonts w:ascii="Calibri" w:hAnsi="Calibri"/>
          <w:sz w:val="20"/>
          <w:szCs w:val="20"/>
          <w:lang w:val="en-GB"/>
        </w:rPr>
        <w:endnoteRef/>
      </w:r>
      <w:r w:rsidRPr="00E621CF">
        <w:rPr>
          <w:rFonts w:ascii="Calibri" w:hAnsi="Calibri"/>
          <w:sz w:val="20"/>
          <w:szCs w:val="20"/>
          <w:lang w:val="en-GB"/>
        </w:rPr>
        <w:t xml:space="preserve"> </w:t>
      </w:r>
      <w:r w:rsidR="006B2760" w:rsidRPr="00860DD2">
        <w:rPr>
          <w:rFonts w:ascii="Calibri" w:hAnsi="Calibri"/>
          <w:sz w:val="20"/>
          <w:szCs w:val="20"/>
          <w:lang w:val="en-GB"/>
        </w:rPr>
        <w:t xml:space="preserve">The Client submits a List of controlling persons (or </w:t>
      </w:r>
      <w:r w:rsidR="006B2760">
        <w:rPr>
          <w:rFonts w:ascii="Calibri" w:hAnsi="Calibri"/>
          <w:sz w:val="20"/>
          <w:szCs w:val="20"/>
          <w:lang w:val="en-GB"/>
        </w:rPr>
        <w:t>beneficial owners</w:t>
      </w:r>
      <w:r w:rsidR="006B2760" w:rsidRPr="00860DD2">
        <w:rPr>
          <w:rFonts w:ascii="Calibri" w:hAnsi="Calibri"/>
          <w:sz w:val="20"/>
          <w:szCs w:val="20"/>
          <w:lang w:val="en-GB"/>
        </w:rPr>
        <w:t xml:space="preserve">) exclusively by means of a properly </w:t>
      </w:r>
      <w:r w:rsidR="006B2760">
        <w:rPr>
          <w:rFonts w:ascii="Calibri" w:hAnsi="Calibri"/>
          <w:sz w:val="20"/>
          <w:szCs w:val="20"/>
          <w:lang w:val="en-GB"/>
        </w:rPr>
        <w:t xml:space="preserve">filled out </w:t>
      </w:r>
      <w:r w:rsidR="006B2760" w:rsidRPr="00860DD2">
        <w:rPr>
          <w:rFonts w:ascii="Calibri" w:hAnsi="Calibri"/>
          <w:sz w:val="20"/>
          <w:szCs w:val="20"/>
          <w:lang w:val="en-GB"/>
        </w:rPr>
        <w:t>form which has been issued by the CDCP for this purpose and published on the website</w:t>
      </w:r>
      <w:r w:rsidR="006B2760">
        <w:rPr>
          <w:rFonts w:ascii="Calibri" w:hAnsi="Calibri"/>
          <w:sz w:val="20"/>
          <w:szCs w:val="20"/>
          <w:lang w:val="en-GB"/>
        </w:rPr>
        <w:t>:</w:t>
      </w:r>
    </w:p>
    <w:p w:rsidR="006B2760" w:rsidRPr="00860DD2" w:rsidRDefault="006B2760" w:rsidP="006B2760">
      <w:pPr>
        <w:autoSpaceDE w:val="0"/>
        <w:autoSpaceDN w:val="0"/>
        <w:adjustRightInd w:val="0"/>
        <w:ind w:left="142" w:right="-1" w:hanging="142"/>
        <w:jc w:val="center"/>
        <w:rPr>
          <w:rFonts w:ascii="Calibri" w:hAnsi="Calibri"/>
          <w:b/>
          <w:i/>
          <w:color w:val="4C7563"/>
          <w:sz w:val="20"/>
          <w:szCs w:val="20"/>
          <w:lang w:val="en-GB"/>
        </w:rPr>
      </w:pPr>
      <w:r w:rsidRPr="00860DD2">
        <w:rPr>
          <w:rFonts w:ascii="Calibri" w:hAnsi="Calibri"/>
          <w:b/>
          <w:i/>
          <w:color w:val="4C7563"/>
          <w:sz w:val="20"/>
          <w:szCs w:val="20"/>
          <w:lang w:val="en-GB"/>
        </w:rPr>
        <w:t>https://www.cdcp.sk/en/forms-for-owners-of-account-of-book-entry-securities/</w:t>
      </w:r>
    </w:p>
    <w:p w:rsidR="006B2760" w:rsidRDefault="006B2760" w:rsidP="006B2760">
      <w:pPr>
        <w:autoSpaceDE w:val="0"/>
        <w:autoSpaceDN w:val="0"/>
        <w:adjustRightInd w:val="0"/>
        <w:ind w:left="142" w:right="-1" w:firstLine="0"/>
        <w:jc w:val="both"/>
        <w:rPr>
          <w:rFonts w:ascii="Calibri" w:hAnsi="Calibri"/>
          <w:sz w:val="20"/>
          <w:szCs w:val="20"/>
          <w:lang w:val="en-GB"/>
        </w:rPr>
      </w:pPr>
    </w:p>
    <w:p w:rsidR="006B2760" w:rsidRDefault="006B2760" w:rsidP="006B2760">
      <w:pPr>
        <w:autoSpaceDE w:val="0"/>
        <w:autoSpaceDN w:val="0"/>
        <w:adjustRightInd w:val="0"/>
        <w:ind w:left="142" w:right="-1" w:firstLine="0"/>
        <w:jc w:val="both"/>
        <w:rPr>
          <w:rFonts w:ascii="Calibri" w:hAnsi="Calibri"/>
          <w:sz w:val="20"/>
          <w:szCs w:val="20"/>
          <w:lang w:val="en-GB"/>
        </w:rPr>
      </w:pPr>
      <w:r w:rsidRPr="00860DD2">
        <w:rPr>
          <w:rFonts w:ascii="Calibri" w:hAnsi="Calibri"/>
          <w:sz w:val="20"/>
          <w:szCs w:val="20"/>
          <w:lang w:val="en-GB"/>
        </w:rPr>
        <w:t>The form must be completed and signed in accordance with the explanatory notes contained therein</w:t>
      </w:r>
      <w:r>
        <w:rPr>
          <w:rFonts w:ascii="Calibri" w:hAnsi="Calibri"/>
          <w:sz w:val="20"/>
          <w:szCs w:val="20"/>
          <w:lang w:val="en-GB"/>
        </w:rPr>
        <w:t>.</w:t>
      </w:r>
    </w:p>
    <w:p w:rsidR="006B2760" w:rsidRPr="006B2760" w:rsidRDefault="006B2760" w:rsidP="006B2760">
      <w:pPr>
        <w:autoSpaceDE w:val="0"/>
        <w:autoSpaceDN w:val="0"/>
        <w:adjustRightInd w:val="0"/>
        <w:ind w:left="142" w:right="-1" w:firstLine="0"/>
        <w:jc w:val="both"/>
        <w:rPr>
          <w:rFonts w:ascii="Calibri" w:hAnsi="Calibri"/>
          <w:sz w:val="8"/>
          <w:szCs w:val="8"/>
          <w:lang w:val="en-GB"/>
        </w:rPr>
      </w:pPr>
    </w:p>
    <w:p w:rsidR="006B2760" w:rsidRPr="00860DD2" w:rsidRDefault="006B2760" w:rsidP="006B2760">
      <w:pPr>
        <w:autoSpaceDE w:val="0"/>
        <w:autoSpaceDN w:val="0"/>
        <w:adjustRightInd w:val="0"/>
        <w:ind w:left="142" w:right="-1" w:firstLine="0"/>
        <w:jc w:val="both"/>
        <w:rPr>
          <w:rFonts w:ascii="Calibri" w:hAnsi="Calibri"/>
          <w:sz w:val="20"/>
          <w:szCs w:val="20"/>
          <w:lang w:val="en-GB"/>
        </w:rPr>
      </w:pPr>
      <w:r w:rsidRPr="00860DD2">
        <w:rPr>
          <w:rFonts w:ascii="Calibri" w:hAnsi="Calibri"/>
          <w:sz w:val="20"/>
          <w:szCs w:val="20"/>
          <w:lang w:val="en-GB"/>
        </w:rPr>
        <w:t>In the case the cli</w:t>
      </w:r>
      <w:r>
        <w:rPr>
          <w:rFonts w:ascii="Calibri" w:hAnsi="Calibri"/>
          <w:sz w:val="20"/>
          <w:szCs w:val="20"/>
          <w:lang w:val="en-GB"/>
        </w:rPr>
        <w:t xml:space="preserve">ent is a passive non-financial </w:t>
      </w:r>
      <w:r w:rsidRPr="00860DD2">
        <w:rPr>
          <w:rFonts w:ascii="Calibri" w:hAnsi="Calibri"/>
          <w:sz w:val="20"/>
          <w:szCs w:val="20"/>
          <w:lang w:val="en-GB"/>
        </w:rPr>
        <w:t>entity under Agreement between the Slovak Republic and the United States of America to Improve International Tax Compliance and to Implement FATCA, and also under Act No. 359/2015 Coll., the client must submit only one full List of Controlling Persons.</w:t>
      </w:r>
    </w:p>
    <w:p w:rsidR="00CD7681" w:rsidRPr="00E621CF" w:rsidRDefault="00CD7681" w:rsidP="006B2760">
      <w:pPr>
        <w:pStyle w:val="Odsekzoznamu"/>
        <w:ind w:left="142" w:right="-1" w:hanging="142"/>
        <w:jc w:val="both"/>
        <w:rPr>
          <w:sz w:val="8"/>
          <w:szCs w:val="8"/>
          <w:lang w:val="en-GB"/>
        </w:rPr>
      </w:pPr>
    </w:p>
  </w:endnote>
  <w:endnote w:id="25">
    <w:p w:rsidR="00CD7681" w:rsidRPr="003B4BC6" w:rsidRDefault="00CD7681" w:rsidP="00EB48E4">
      <w:pPr>
        <w:pStyle w:val="Textvysvetlivky"/>
        <w:ind w:left="142" w:hanging="142"/>
        <w:jc w:val="both"/>
        <w:rPr>
          <w:lang w:val="en-GB"/>
        </w:rPr>
      </w:pPr>
      <w:r w:rsidRPr="003B4BC6">
        <w:rPr>
          <w:rStyle w:val="Odkaznavysvetlivku"/>
          <w:lang w:val="en-GB"/>
        </w:rPr>
        <w:endnoteRef/>
      </w:r>
      <w:r w:rsidRPr="003B4BC6">
        <w:rPr>
          <w:lang w:val="en-GB"/>
        </w:rPr>
        <w:t xml:space="preserve"> REDA.019 – Securities account report is list of all the accounts managed in </w:t>
      </w:r>
      <w:r>
        <w:rPr>
          <w:lang w:val="en-GB"/>
        </w:rPr>
        <w:t>C</w:t>
      </w:r>
      <w:r w:rsidRPr="003B4BC6">
        <w:rPr>
          <w:lang w:val="en-GB"/>
        </w:rPr>
        <w:t>DCP for the client with their identification data. The Securities account report is not a statement of holdings (it does not content data about securities kept in client accounts managed in CDCP.</w:t>
      </w:r>
    </w:p>
    <w:p w:rsidR="00CD7681" w:rsidRPr="003B4BC6" w:rsidRDefault="00CD7681">
      <w:pPr>
        <w:pStyle w:val="Textvysvetlivky"/>
        <w:rPr>
          <w:sz w:val="8"/>
          <w:szCs w:val="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1" w:rsidRDefault="00CD7681" w:rsidP="0009486B">
    <w:pPr>
      <w:pStyle w:val="Nadpis5"/>
    </w:pPr>
    <w:r>
      <w:t xml:space="preserve">Page </w:t>
    </w:r>
    <w:r>
      <w:rPr>
        <w:sz w:val="24"/>
        <w:szCs w:val="24"/>
      </w:rPr>
      <w:fldChar w:fldCharType="begin"/>
    </w:r>
    <w:r>
      <w:instrText>PAGE</w:instrText>
    </w:r>
    <w:r>
      <w:rPr>
        <w:sz w:val="24"/>
        <w:szCs w:val="24"/>
      </w:rPr>
      <w:fldChar w:fldCharType="separate"/>
    </w:r>
    <w:r w:rsidR="00B83296">
      <w:rPr>
        <w:noProof/>
      </w:rPr>
      <w:t>4</w:t>
    </w:r>
    <w:r>
      <w:rPr>
        <w:sz w:val="24"/>
        <w:szCs w:val="24"/>
      </w:rPr>
      <w:fldChar w:fldCharType="end"/>
    </w:r>
    <w:r>
      <w:t xml:space="preserve"> of </w:t>
    </w:r>
    <w:r>
      <w:rPr>
        <w:sz w:val="24"/>
        <w:szCs w:val="24"/>
      </w:rPr>
      <w:fldChar w:fldCharType="begin"/>
    </w:r>
    <w:r>
      <w:rPr>
        <w:sz w:val="24"/>
        <w:szCs w:val="24"/>
      </w:rPr>
      <w:instrText xml:space="preserve"> SECTIONPAGES  </w:instrText>
    </w:r>
    <w:r>
      <w:rPr>
        <w:sz w:val="24"/>
        <w:szCs w:val="24"/>
      </w:rPr>
      <w:fldChar w:fldCharType="separate"/>
    </w:r>
    <w:r w:rsidR="00B83296">
      <w:rPr>
        <w:noProof/>
        <w:sz w:val="24"/>
        <w:szCs w:val="24"/>
      </w:rPr>
      <w:t>4</w:t>
    </w:r>
    <w:r>
      <w:rPr>
        <w:sz w:val="24"/>
        <w:szCs w:val="24"/>
      </w:rPr>
      <w:fldChar w:fldCharType="end"/>
    </w:r>
  </w:p>
  <w:p w:rsidR="00CD7681" w:rsidRDefault="00CD7681" w:rsidP="00540D75">
    <w:pPr>
      <w:pStyle w:val="Pt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437197650"/>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549380152"/>
          <w:docPartObj>
            <w:docPartGallery w:val="Page Numbers (Top of Page)"/>
            <w:docPartUnique/>
          </w:docPartObj>
        </w:sdtPr>
        <w:sdtEndPr/>
        <w:sdtContent>
          <w:p w:rsidR="00CD7681" w:rsidRDefault="00CD7681" w:rsidP="00CE3338">
            <w:pPr>
              <w:pBdr>
                <w:bottom w:val="single" w:sz="12" w:space="1" w:color="auto"/>
              </w:pBdr>
              <w:tabs>
                <w:tab w:val="left" w:pos="3686"/>
                <w:tab w:val="left" w:pos="4536"/>
                <w:tab w:val="center" w:pos="5670"/>
                <w:tab w:val="left" w:pos="6521"/>
                <w:tab w:val="right" w:pos="9498"/>
              </w:tabs>
            </w:pPr>
          </w:p>
          <w:p w:rsidR="00CD7681" w:rsidRDefault="00CD7681" w:rsidP="00CE3338">
            <w:pPr>
              <w:tabs>
                <w:tab w:val="left" w:pos="3686"/>
                <w:tab w:val="left" w:pos="4536"/>
                <w:tab w:val="center" w:pos="5670"/>
                <w:tab w:val="left" w:pos="6521"/>
                <w:tab w:val="right" w:pos="9498"/>
              </w:tabs>
              <w:rPr>
                <w:color w:val="595959" w:themeColor="text1" w:themeTint="A6"/>
                <w:sz w:val="16"/>
                <w:szCs w:val="16"/>
                <w:lang w:eastAsia="cs-CZ"/>
              </w:rPr>
            </w:pPr>
          </w:p>
          <w:p w:rsidR="00CD7681" w:rsidRDefault="00CD7681" w:rsidP="00CE3338">
            <w:pPr>
              <w:tabs>
                <w:tab w:val="left" w:pos="3686"/>
                <w:tab w:val="left" w:pos="4536"/>
                <w:tab w:val="center" w:pos="5670"/>
                <w:tab w:val="left" w:pos="6663"/>
                <w:tab w:val="right" w:pos="9498"/>
              </w:tabs>
              <w:rPr>
                <w:color w:val="595959" w:themeColor="text1" w:themeTint="A6"/>
                <w:sz w:val="16"/>
                <w:szCs w:val="16"/>
                <w:lang w:eastAsia="cs-CZ"/>
              </w:rPr>
            </w:pPr>
            <w:r>
              <w:rPr>
                <w:color w:val="595959" w:themeColor="text1" w:themeTint="A6"/>
                <w:sz w:val="16"/>
                <w:szCs w:val="16"/>
                <w:lang w:eastAsia="cs-CZ"/>
              </w:rPr>
              <w:t>Centrálny depozitár cenných papierov SR, a.s.</w:t>
            </w:r>
            <w:r>
              <w:rPr>
                <w:color w:val="595959" w:themeColor="text1" w:themeTint="A6"/>
                <w:sz w:val="16"/>
                <w:szCs w:val="16"/>
                <w:lang w:eastAsia="cs-CZ"/>
              </w:rPr>
              <w:tab/>
            </w:r>
            <w:r>
              <w:rPr>
                <w:color w:val="595959" w:themeColor="text1" w:themeTint="A6"/>
                <w:sz w:val="16"/>
                <w:szCs w:val="16"/>
                <w:lang w:eastAsia="cs-CZ"/>
              </w:rPr>
              <w:tab/>
              <w:t>IČO: 31 338 976</w:t>
            </w:r>
            <w:r>
              <w:rPr>
                <w:color w:val="595959" w:themeColor="text1" w:themeTint="A6"/>
                <w:sz w:val="16"/>
                <w:szCs w:val="16"/>
                <w:lang w:eastAsia="cs-CZ"/>
              </w:rPr>
              <w:tab/>
            </w:r>
            <w:r>
              <w:rPr>
                <w:color w:val="595959" w:themeColor="text1" w:themeTint="A6"/>
                <w:sz w:val="16"/>
                <w:szCs w:val="16"/>
                <w:lang w:eastAsia="cs-CZ"/>
              </w:rPr>
              <w:tab/>
              <w:t>Bankové spojenie</w:t>
            </w:r>
          </w:p>
          <w:p w:rsidR="00CD7681" w:rsidRDefault="00CD7681" w:rsidP="00CE3338">
            <w:pPr>
              <w:tabs>
                <w:tab w:val="left" w:pos="3686"/>
                <w:tab w:val="left" w:pos="4536"/>
                <w:tab w:val="left" w:pos="6237"/>
                <w:tab w:val="left" w:pos="6663"/>
                <w:tab w:val="right" w:pos="9498"/>
              </w:tabs>
              <w:rPr>
                <w:color w:val="595959" w:themeColor="text1" w:themeTint="A6"/>
                <w:sz w:val="16"/>
                <w:szCs w:val="16"/>
                <w:lang w:eastAsia="cs-CZ"/>
              </w:rPr>
            </w:pPr>
            <w:r>
              <w:rPr>
                <w:color w:val="595959" w:themeColor="text1" w:themeTint="A6"/>
                <w:sz w:val="16"/>
                <w:szCs w:val="16"/>
                <w:lang w:eastAsia="cs-CZ"/>
              </w:rPr>
              <w:t>ul. 29. Augusta 1/A, 814 80 Bratislava I</w:t>
            </w:r>
            <w:r>
              <w:rPr>
                <w:color w:val="595959" w:themeColor="text1" w:themeTint="A6"/>
                <w:sz w:val="16"/>
                <w:szCs w:val="16"/>
                <w:lang w:eastAsia="cs-CZ"/>
              </w:rPr>
              <w:tab/>
            </w:r>
            <w:r>
              <w:rPr>
                <w:color w:val="595959" w:themeColor="text1" w:themeTint="A6"/>
                <w:sz w:val="16"/>
                <w:szCs w:val="16"/>
                <w:lang w:eastAsia="cs-CZ"/>
              </w:rPr>
              <w:tab/>
              <w:t>DIČ: 2020312833</w:t>
            </w:r>
            <w:r>
              <w:rPr>
                <w:color w:val="595959" w:themeColor="text1" w:themeTint="A6"/>
                <w:sz w:val="16"/>
                <w:szCs w:val="16"/>
                <w:lang w:eastAsia="cs-CZ"/>
              </w:rPr>
              <w:tab/>
            </w:r>
            <w:r>
              <w:rPr>
                <w:color w:val="595959" w:themeColor="text1" w:themeTint="A6"/>
                <w:sz w:val="16"/>
                <w:szCs w:val="16"/>
                <w:lang w:eastAsia="cs-CZ"/>
              </w:rPr>
              <w:tab/>
            </w:r>
            <w:r w:rsidRPr="00FB7470">
              <w:rPr>
                <w:color w:val="595959" w:themeColor="text1" w:themeTint="A6"/>
                <w:sz w:val="16"/>
                <w:szCs w:val="16"/>
                <w:lang w:eastAsia="cs-CZ"/>
              </w:rPr>
              <w:t xml:space="preserve">TATRA </w:t>
            </w:r>
            <w:r>
              <w:rPr>
                <w:color w:val="595959" w:themeColor="text1" w:themeTint="A6"/>
                <w:sz w:val="16"/>
                <w:szCs w:val="16"/>
                <w:lang w:eastAsia="cs-CZ"/>
              </w:rPr>
              <w:t>BANKA, a.s.</w:t>
            </w:r>
          </w:p>
          <w:p w:rsidR="00CD7681" w:rsidRDefault="00CD7681" w:rsidP="00CE3338">
            <w:pPr>
              <w:tabs>
                <w:tab w:val="left" w:pos="3686"/>
                <w:tab w:val="left" w:pos="4111"/>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zapísaný v Obchodnom registri Okresného súdu Bratislava I</w:t>
            </w:r>
            <w:r>
              <w:rPr>
                <w:color w:val="595959" w:themeColor="text1" w:themeTint="A6"/>
                <w:sz w:val="16"/>
                <w:szCs w:val="16"/>
                <w:lang w:eastAsia="cs-CZ"/>
              </w:rPr>
              <w:tab/>
            </w:r>
            <w:r w:rsidRPr="00FB7470">
              <w:rPr>
                <w:color w:val="595959" w:themeColor="text1" w:themeTint="A6"/>
                <w:sz w:val="16"/>
                <w:szCs w:val="16"/>
                <w:lang w:eastAsia="cs-CZ"/>
              </w:rPr>
              <w:t>IČ DPH: SK2020312833</w:t>
            </w:r>
            <w:r>
              <w:rPr>
                <w:color w:val="595959" w:themeColor="text1" w:themeTint="A6"/>
                <w:sz w:val="16"/>
                <w:szCs w:val="16"/>
                <w:lang w:eastAsia="cs-CZ"/>
              </w:rPr>
              <w:tab/>
            </w:r>
            <w:r w:rsidRPr="00FB7470">
              <w:rPr>
                <w:color w:val="595959" w:themeColor="text1" w:themeTint="A6"/>
                <w:sz w:val="16"/>
                <w:szCs w:val="16"/>
                <w:lang w:eastAsia="cs-CZ"/>
              </w:rPr>
              <w:t>IBAN: SK87 1100 0000 002622003416</w:t>
            </w:r>
          </w:p>
          <w:p w:rsidR="00CD7681" w:rsidRDefault="00CD7681" w:rsidP="00CE3338">
            <w:pPr>
              <w:tabs>
                <w:tab w:val="left" w:pos="3686"/>
                <w:tab w:val="left" w:pos="4536"/>
                <w:tab w:val="left" w:pos="6663"/>
                <w:tab w:val="right" w:pos="9498"/>
              </w:tabs>
              <w:rPr>
                <w:color w:val="595959" w:themeColor="text1" w:themeTint="A6"/>
                <w:sz w:val="16"/>
                <w:szCs w:val="16"/>
                <w:lang w:eastAsia="cs-CZ"/>
              </w:rPr>
            </w:pPr>
            <w:r>
              <w:rPr>
                <w:color w:val="595959" w:themeColor="text1" w:themeTint="A6"/>
                <w:sz w:val="16"/>
                <w:szCs w:val="16"/>
                <w:lang w:eastAsia="cs-CZ"/>
              </w:rPr>
              <w:t>oddiel: Sa, vložka č. 493/B</w:t>
            </w:r>
            <w:r>
              <w:rPr>
                <w:color w:val="595959" w:themeColor="text1" w:themeTint="A6"/>
                <w:sz w:val="16"/>
                <w:szCs w:val="16"/>
                <w:lang w:eastAsia="cs-CZ"/>
              </w:rPr>
              <w:tab/>
            </w:r>
            <w:r>
              <w:rPr>
                <w:color w:val="595959" w:themeColor="text1" w:themeTint="A6"/>
                <w:sz w:val="16"/>
                <w:szCs w:val="16"/>
                <w:lang w:eastAsia="cs-CZ"/>
              </w:rPr>
              <w:tab/>
            </w:r>
            <w:hyperlink r:id="rId1" w:history="1">
              <w:r w:rsidRPr="00FB7470">
                <w:rPr>
                  <w:color w:val="595959" w:themeColor="text1" w:themeTint="A6"/>
                  <w:sz w:val="16"/>
                  <w:szCs w:val="16"/>
                  <w:u w:val="single"/>
                  <w:lang w:eastAsia="cs-CZ"/>
                </w:rPr>
                <w:t>www.cdcp.sk</w:t>
              </w:r>
            </w:hyperlink>
            <w:r>
              <w:rPr>
                <w:color w:val="595959" w:themeColor="text1" w:themeTint="A6"/>
                <w:sz w:val="16"/>
                <w:szCs w:val="16"/>
                <w:u w:val="single"/>
                <w:lang w:eastAsia="cs-CZ"/>
              </w:rPr>
              <w:t xml:space="preserve"> </w:t>
            </w:r>
            <w:r w:rsidRPr="00BA1288">
              <w:rPr>
                <w:color w:val="595959" w:themeColor="text1" w:themeTint="A6"/>
                <w:sz w:val="16"/>
                <w:szCs w:val="16"/>
                <w:lang w:eastAsia="cs-CZ"/>
              </w:rPr>
              <w:tab/>
            </w:r>
            <w:r w:rsidRPr="00FB7470">
              <w:rPr>
                <w:color w:val="595959" w:themeColor="text1" w:themeTint="A6"/>
                <w:sz w:val="16"/>
                <w:szCs w:val="16"/>
                <w:lang w:eastAsia="cs-CZ"/>
              </w:rPr>
              <w:t>BIC: TATRSKBX</w:t>
            </w:r>
          </w:p>
          <w:p w:rsidR="00CD7681" w:rsidRPr="00CE3338" w:rsidRDefault="00CD7681" w:rsidP="00CE3338">
            <w:pPr>
              <w:tabs>
                <w:tab w:val="left" w:pos="4536"/>
                <w:tab w:val="right" w:pos="9072"/>
              </w:tabs>
              <w:rPr>
                <w:color w:val="595959" w:themeColor="text1" w:themeTint="A6"/>
                <w:sz w:val="16"/>
                <w:szCs w:val="16"/>
                <w:lang w:eastAsia="cs-CZ"/>
              </w:rPr>
            </w:pPr>
            <w:r>
              <w:rPr>
                <w:color w:val="595959" w:themeColor="text1" w:themeTint="A6"/>
                <w:sz w:val="16"/>
                <w:szCs w:val="16"/>
                <w:lang w:eastAsia="cs-CZ"/>
              </w:rPr>
              <w:t xml:space="preserve">Telefón: 00421/2/59395110 </w:t>
            </w:r>
            <w:r>
              <w:rPr>
                <w:color w:val="595959" w:themeColor="text1" w:themeTint="A6"/>
                <w:sz w:val="16"/>
                <w:szCs w:val="16"/>
                <w:lang w:eastAsia="cs-CZ"/>
              </w:rPr>
              <w:tab/>
              <w:t>Fax: 00421/2</w:t>
            </w:r>
            <w:r w:rsidRPr="00FB7470">
              <w:rPr>
                <w:color w:val="595959" w:themeColor="text1" w:themeTint="A6"/>
                <w:sz w:val="16"/>
                <w:szCs w:val="16"/>
                <w:lang w:eastAsia="cs-CZ"/>
              </w:rPr>
              <w:t>/ 5296 8755</w:t>
            </w:r>
          </w:p>
          <w:p w:rsidR="00CD7681" w:rsidRDefault="00CD7681" w:rsidP="00CE3338">
            <w:pPr>
              <w:pStyle w:val="Nadpis5"/>
            </w:pPr>
            <w:r>
              <w:t xml:space="preserve">Strana </w:t>
            </w:r>
            <w:r>
              <w:rPr>
                <w:sz w:val="24"/>
                <w:szCs w:val="24"/>
              </w:rPr>
              <w:fldChar w:fldCharType="begin"/>
            </w:r>
            <w:r>
              <w:instrText>PAGE</w:instrText>
            </w:r>
            <w:r>
              <w:rPr>
                <w:sz w:val="24"/>
                <w:szCs w:val="24"/>
              </w:rPr>
              <w:fldChar w:fldCharType="separate"/>
            </w:r>
            <w:r w:rsidR="00B83296">
              <w:rPr>
                <w:noProof/>
              </w:rPr>
              <w:t>1</w:t>
            </w:r>
            <w:r>
              <w:rPr>
                <w:sz w:val="24"/>
                <w:szCs w:val="24"/>
              </w:rPr>
              <w:fldChar w:fldCharType="end"/>
            </w:r>
            <w:r>
              <w:t xml:space="preserve"> z </w:t>
            </w:r>
            <w:r>
              <w:rPr>
                <w:sz w:val="24"/>
                <w:szCs w:val="24"/>
              </w:rPr>
              <w:fldChar w:fldCharType="begin"/>
            </w:r>
            <w:r>
              <w:rPr>
                <w:sz w:val="24"/>
                <w:szCs w:val="24"/>
              </w:rPr>
              <w:instrText xml:space="preserve"> SECTIONPAGES  </w:instrText>
            </w:r>
            <w:r>
              <w:rPr>
                <w:sz w:val="24"/>
                <w:szCs w:val="24"/>
              </w:rPr>
              <w:fldChar w:fldCharType="separate"/>
            </w:r>
            <w:r w:rsidR="00B83296">
              <w:rPr>
                <w:noProof/>
                <w:sz w:val="24"/>
                <w:szCs w:val="24"/>
              </w:rPr>
              <w:t>4</w:t>
            </w:r>
            <w:r>
              <w:rPr>
                <w:sz w:val="24"/>
                <w:szCs w:val="24"/>
              </w:rPr>
              <w:fldChar w:fldCharType="end"/>
            </w:r>
          </w:p>
        </w:sdtContent>
      </w:sdt>
    </w:sdtContent>
  </w:sdt>
  <w:p w:rsidR="00CD7681" w:rsidRDefault="00CD7681">
    <w:pPr>
      <w:pStyle w:val="Pt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1" w:rsidRDefault="00CD7681" w:rsidP="0009486B">
    <w:pPr>
      <w:pStyle w:val="Nadpis5"/>
    </w:pPr>
    <w:r>
      <w:t xml:space="preserve">Page </w:t>
    </w:r>
    <w:r>
      <w:rPr>
        <w:sz w:val="24"/>
        <w:szCs w:val="24"/>
      </w:rPr>
      <w:fldChar w:fldCharType="begin"/>
    </w:r>
    <w:r>
      <w:instrText>PAGE</w:instrText>
    </w:r>
    <w:r>
      <w:rPr>
        <w:sz w:val="24"/>
        <w:szCs w:val="24"/>
      </w:rPr>
      <w:fldChar w:fldCharType="separate"/>
    </w:r>
    <w:r w:rsidR="00B83296">
      <w:rPr>
        <w:noProof/>
      </w:rPr>
      <w:t>6</w:t>
    </w:r>
    <w:r>
      <w:rPr>
        <w:sz w:val="24"/>
        <w:szCs w:val="24"/>
      </w:rPr>
      <w:fldChar w:fldCharType="end"/>
    </w:r>
  </w:p>
  <w:p w:rsidR="00CD7681" w:rsidRDefault="00CD7681" w:rsidP="00540D75">
    <w:pPr>
      <w:pStyle w:val="Pta"/>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color w:val="4C7563" w:themeColor="accent1"/>
      </w:rPr>
      <w:id w:val="1057751726"/>
      <w:docPartObj>
        <w:docPartGallery w:val="Page Numbers (Bottom of Page)"/>
        <w:docPartUnique/>
      </w:docPartObj>
    </w:sdtPr>
    <w:sdtEndPr/>
    <w:sdtContent>
      <w:sdt>
        <w:sdtPr>
          <w:rPr>
            <w:rFonts w:asciiTheme="majorHAnsi" w:eastAsiaTheme="majorEastAsia" w:hAnsiTheme="majorHAnsi" w:cstheme="majorBidi"/>
            <w:color w:val="4C7563" w:themeColor="accent1"/>
          </w:rPr>
          <w:id w:val="351078231"/>
          <w:docPartObj>
            <w:docPartGallery w:val="Page Numbers (Top of Page)"/>
            <w:docPartUnique/>
          </w:docPartObj>
        </w:sdtPr>
        <w:sdtEndPr/>
        <w:sdtContent>
          <w:p w:rsidR="00CD7681" w:rsidRPr="00CE3338" w:rsidRDefault="00CD7681" w:rsidP="00460C3B">
            <w:pPr>
              <w:tabs>
                <w:tab w:val="left" w:pos="3686"/>
                <w:tab w:val="left" w:pos="4536"/>
                <w:tab w:val="center" w:pos="5670"/>
                <w:tab w:val="left" w:pos="6521"/>
                <w:tab w:val="right" w:pos="9498"/>
              </w:tabs>
              <w:rPr>
                <w:color w:val="595959" w:themeColor="text1" w:themeTint="A6"/>
                <w:sz w:val="16"/>
                <w:szCs w:val="16"/>
                <w:lang w:eastAsia="cs-CZ"/>
              </w:rPr>
            </w:pPr>
          </w:p>
          <w:p w:rsidR="00CD7681" w:rsidRDefault="00CD7681" w:rsidP="00CE3338">
            <w:pPr>
              <w:pStyle w:val="Nadpis5"/>
            </w:pPr>
            <w:r>
              <w:t xml:space="preserve">Page </w:t>
            </w:r>
            <w:r>
              <w:rPr>
                <w:sz w:val="24"/>
                <w:szCs w:val="24"/>
              </w:rPr>
              <w:fldChar w:fldCharType="begin"/>
            </w:r>
            <w:r>
              <w:instrText>PAGE</w:instrText>
            </w:r>
            <w:r>
              <w:rPr>
                <w:sz w:val="24"/>
                <w:szCs w:val="24"/>
              </w:rPr>
              <w:fldChar w:fldCharType="separate"/>
            </w:r>
            <w:r w:rsidR="00B83296">
              <w:rPr>
                <w:noProof/>
              </w:rPr>
              <w:t>1</w:t>
            </w:r>
            <w:r>
              <w:rPr>
                <w:sz w:val="24"/>
                <w:szCs w:val="24"/>
              </w:rPr>
              <w:fldChar w:fldCharType="end"/>
            </w:r>
          </w:p>
        </w:sdtContent>
      </w:sdt>
    </w:sdtContent>
  </w:sdt>
  <w:p w:rsidR="00CD7681" w:rsidRDefault="00CD7681">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7681" w:rsidRDefault="00CD7681" w:rsidP="00540D75">
      <w:r>
        <w:separator/>
      </w:r>
    </w:p>
  </w:footnote>
  <w:footnote w:type="continuationSeparator" w:id="0">
    <w:p w:rsidR="00CD7681" w:rsidRDefault="00CD7681" w:rsidP="00540D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1" w:rsidRPr="0039729D" w:rsidRDefault="00CD7681" w:rsidP="0039729D">
    <w:pPr>
      <w:tabs>
        <w:tab w:val="center" w:pos="4153"/>
      </w:tabs>
      <w:jc w:val="right"/>
      <w:rPr>
        <w:b/>
        <w:smallCaps/>
        <w:color w:val="4C7563"/>
        <w:sz w:val="18"/>
      </w:rPr>
    </w:pPr>
    <w:r>
      <w:rPr>
        <w:b/>
        <w:smallCaps/>
        <w:color w:val="BFBFBF" w:themeColor="background1" w:themeShade="BF"/>
        <w:sz w:val="18"/>
      </w:rPr>
      <w:tab/>
    </w:r>
    <w:r>
      <w:rPr>
        <w:b/>
        <w:smallCaps/>
        <w:color w:val="BFBFBF" w:themeColor="background1" w:themeShade="BF"/>
        <w:sz w:val="18"/>
      </w:rPr>
      <w:tab/>
    </w:r>
    <w:r>
      <w:rPr>
        <w:b/>
        <w:smallCaps/>
        <w:color w:val="BFBFBF" w:themeColor="background1" w:themeShade="BF"/>
        <w:sz w:val="18"/>
      </w:rPr>
      <w:tab/>
      <w:t xml:space="preserve"> </w:t>
    </w:r>
    <w:r w:rsidRPr="0039729D">
      <w:rPr>
        <w:b/>
        <w:smallCaps/>
        <w:color w:val="4C7563"/>
        <w:sz w:val="18"/>
      </w:rPr>
      <w:t>FORM F</w:t>
    </w:r>
    <w:r>
      <w:rPr>
        <w:b/>
        <w:smallCaps/>
        <w:color w:val="4C7563"/>
        <w:sz w:val="18"/>
      </w:rPr>
      <w:t>2</w:t>
    </w:r>
  </w:p>
  <w:p w:rsidR="00CD7681" w:rsidRDefault="00CD7681">
    <w:pPr>
      <w:pStyle w:val="Hlavik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1" w:rsidRDefault="00CD7681" w:rsidP="00C17A72">
    <w:pPr>
      <w:pStyle w:val="Hlavika"/>
      <w:ind w:firstLine="0"/>
    </w:pPr>
    <w:r>
      <w:rPr>
        <w:noProof/>
        <w:lang w:eastAsia="sk-SK"/>
      </w:rPr>
      <w:drawing>
        <wp:inline distT="0" distB="0" distL="0" distR="0" wp14:anchorId="4F7C588C" wp14:editId="705DC56D">
          <wp:extent cx="6120130" cy="786130"/>
          <wp:effectExtent l="0" t="0" r="0" b="0"/>
          <wp:docPr id="1" name="Obrázo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gif"/>
                  <pic:cNvPicPr/>
                </pic:nvPicPr>
                <pic:blipFill>
                  <a:blip r:embed="rId1">
                    <a:extLst>
                      <a:ext uri="{28A0092B-C50C-407E-A947-70E740481C1C}">
                        <a14:useLocalDpi xmlns:a14="http://schemas.microsoft.com/office/drawing/2010/main" val="0"/>
                      </a:ext>
                    </a:extLst>
                  </a:blip>
                  <a:stretch>
                    <a:fillRect/>
                  </a:stretch>
                </pic:blipFill>
                <pic:spPr>
                  <a:xfrm>
                    <a:off x="0" y="0"/>
                    <a:ext cx="6120130" cy="786130"/>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7681" w:rsidRDefault="00CD7681" w:rsidP="0027231A">
    <w:pPr>
      <w:pStyle w:val="Hlavika"/>
      <w:ind w:firstLine="0"/>
      <w:jc w:val="right"/>
    </w:pPr>
    <w:r w:rsidRPr="0039729D">
      <w:rPr>
        <w:b/>
        <w:smallCaps/>
        <w:color w:val="4C7563"/>
        <w:sz w:val="18"/>
      </w:rPr>
      <w:t>FORM F</w:t>
    </w:r>
    <w:r>
      <w:rPr>
        <w:b/>
        <w:smallCaps/>
        <w:color w:val="4C7563"/>
        <w:sz w:val="18"/>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D4A7C"/>
    <w:multiLevelType w:val="hybridMultilevel"/>
    <w:tmpl w:val="5AF4BC1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2C61C8D"/>
    <w:multiLevelType w:val="hybridMultilevel"/>
    <w:tmpl w:val="6EF2AB6E"/>
    <w:lvl w:ilvl="0" w:tplc="041B0017">
      <w:start w:val="1"/>
      <w:numFmt w:val="lowerLetter"/>
      <w:lvlText w:val="%1)"/>
      <w:lvlJc w:val="left"/>
      <w:pPr>
        <w:ind w:left="1068" w:hanging="360"/>
      </w:pPr>
      <w:rPr>
        <w:rFonts w:cs="Times New Roman" w:hint="default"/>
      </w:rPr>
    </w:lvl>
    <w:lvl w:ilvl="1" w:tplc="041B0019">
      <w:start w:val="1"/>
      <w:numFmt w:val="lowerLetter"/>
      <w:lvlText w:val="%2."/>
      <w:lvlJc w:val="left"/>
      <w:pPr>
        <w:ind w:left="1788" w:hanging="360"/>
      </w:pPr>
      <w:rPr>
        <w:rFonts w:cs="Times New Roman"/>
      </w:rPr>
    </w:lvl>
    <w:lvl w:ilvl="2" w:tplc="041B001B" w:tentative="1">
      <w:start w:val="1"/>
      <w:numFmt w:val="lowerRoman"/>
      <w:lvlText w:val="%3."/>
      <w:lvlJc w:val="right"/>
      <w:pPr>
        <w:ind w:left="2508" w:hanging="180"/>
      </w:pPr>
      <w:rPr>
        <w:rFonts w:cs="Times New Roman"/>
      </w:rPr>
    </w:lvl>
    <w:lvl w:ilvl="3" w:tplc="041B000F" w:tentative="1">
      <w:start w:val="1"/>
      <w:numFmt w:val="decimal"/>
      <w:lvlText w:val="%4."/>
      <w:lvlJc w:val="left"/>
      <w:pPr>
        <w:ind w:left="3228" w:hanging="360"/>
      </w:pPr>
      <w:rPr>
        <w:rFonts w:cs="Times New Roman"/>
      </w:rPr>
    </w:lvl>
    <w:lvl w:ilvl="4" w:tplc="041B0019" w:tentative="1">
      <w:start w:val="1"/>
      <w:numFmt w:val="lowerLetter"/>
      <w:lvlText w:val="%5."/>
      <w:lvlJc w:val="left"/>
      <w:pPr>
        <w:ind w:left="3948" w:hanging="360"/>
      </w:pPr>
      <w:rPr>
        <w:rFonts w:cs="Times New Roman"/>
      </w:rPr>
    </w:lvl>
    <w:lvl w:ilvl="5" w:tplc="041B001B" w:tentative="1">
      <w:start w:val="1"/>
      <w:numFmt w:val="lowerRoman"/>
      <w:lvlText w:val="%6."/>
      <w:lvlJc w:val="right"/>
      <w:pPr>
        <w:ind w:left="4668" w:hanging="180"/>
      </w:pPr>
      <w:rPr>
        <w:rFonts w:cs="Times New Roman"/>
      </w:rPr>
    </w:lvl>
    <w:lvl w:ilvl="6" w:tplc="041B000F" w:tentative="1">
      <w:start w:val="1"/>
      <w:numFmt w:val="decimal"/>
      <w:lvlText w:val="%7."/>
      <w:lvlJc w:val="left"/>
      <w:pPr>
        <w:ind w:left="5388" w:hanging="360"/>
      </w:pPr>
      <w:rPr>
        <w:rFonts w:cs="Times New Roman"/>
      </w:rPr>
    </w:lvl>
    <w:lvl w:ilvl="7" w:tplc="041B0019" w:tentative="1">
      <w:start w:val="1"/>
      <w:numFmt w:val="lowerLetter"/>
      <w:lvlText w:val="%8."/>
      <w:lvlJc w:val="left"/>
      <w:pPr>
        <w:ind w:left="6108" w:hanging="360"/>
      </w:pPr>
      <w:rPr>
        <w:rFonts w:cs="Times New Roman"/>
      </w:rPr>
    </w:lvl>
    <w:lvl w:ilvl="8" w:tplc="041B001B" w:tentative="1">
      <w:start w:val="1"/>
      <w:numFmt w:val="lowerRoman"/>
      <w:lvlText w:val="%9."/>
      <w:lvlJc w:val="right"/>
      <w:pPr>
        <w:ind w:left="6828" w:hanging="180"/>
      </w:pPr>
      <w:rPr>
        <w:rFonts w:cs="Times New Roman"/>
      </w:rPr>
    </w:lvl>
  </w:abstractNum>
  <w:abstractNum w:abstractNumId="2">
    <w:nsid w:val="02E23F97"/>
    <w:multiLevelType w:val="hybridMultilevel"/>
    <w:tmpl w:val="656688A0"/>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08612811"/>
    <w:multiLevelType w:val="multilevel"/>
    <w:tmpl w:val="ACA0EE04"/>
    <w:lvl w:ilvl="0">
      <w:start w:val="1"/>
      <w:numFmt w:val="none"/>
      <w:pStyle w:val="Textpoznmkypodiarou"/>
      <w:suff w:val="nothing"/>
      <w:lvlText w:val=""/>
      <w:lvlJc w:val="left"/>
      <w:pPr>
        <w:ind w:left="0" w:firstLine="0"/>
      </w:pPr>
      <w:rPr>
        <w:b/>
        <w:i w:val="0"/>
      </w:rPr>
    </w:lvl>
    <w:lvl w:ilvl="1">
      <w:start w:val="1"/>
      <w:numFmt w:val="decimal"/>
      <w:lvlRestart w:val="0"/>
      <w:suff w:val="space"/>
      <w:lvlText w:val="%1Článok %2"/>
      <w:lvlJc w:val="left"/>
      <w:pPr>
        <w:ind w:left="0" w:firstLine="0"/>
      </w:pPr>
      <w:rPr>
        <w:rFonts w:ascii="Times New Roman" w:hAnsi="Times New Roman" w:cs="Times New Roman" w:hint="default"/>
        <w:b/>
        <w:i w:val="0"/>
        <w:sz w:val="24"/>
      </w:rPr>
    </w:lvl>
    <w:lvl w:ilvl="2">
      <w:start w:val="1"/>
      <w:numFmt w:val="none"/>
      <w:lvlRestart w:val="0"/>
      <w:suff w:val="nothing"/>
      <w:lvlText w:val=""/>
      <w:lvlJc w:val="left"/>
      <w:pPr>
        <w:ind w:left="0" w:firstLine="0"/>
      </w:pPr>
      <w:rPr>
        <w:rFonts w:ascii="Times New Roman" w:hAnsi="Times New Roman" w:cs="Times New Roman" w:hint="default"/>
        <w:b w:val="0"/>
        <w:i w:val="0"/>
        <w:sz w:val="24"/>
      </w:rPr>
    </w:lvl>
    <w:lvl w:ilvl="3">
      <w:start w:val="1"/>
      <w:numFmt w:val="decimal"/>
      <w:lvlText w:val="%2.%4"/>
      <w:lvlJc w:val="left"/>
      <w:pPr>
        <w:tabs>
          <w:tab w:val="num" w:pos="624"/>
        </w:tabs>
        <w:ind w:left="624" w:hanging="624"/>
      </w:pPr>
      <w:rPr>
        <w:rFonts w:ascii="Times New Roman" w:hAnsi="Times New Roman" w:cs="Times New Roman" w:hint="default"/>
        <w:b w:val="0"/>
        <w:i w:val="0"/>
        <w:sz w:val="24"/>
      </w:rPr>
    </w:lvl>
    <w:lvl w:ilvl="4">
      <w:start w:val="1"/>
      <w:numFmt w:val="lowerLetter"/>
      <w:lvlText w:val="%3%5)"/>
      <w:lvlJc w:val="left"/>
      <w:pPr>
        <w:tabs>
          <w:tab w:val="num" w:pos="984"/>
        </w:tabs>
        <w:ind w:left="907" w:hanging="283"/>
      </w:pPr>
      <w:rPr>
        <w:rFonts w:ascii="Times New Roman" w:hAnsi="Times New Roman" w:cs="Times New Roman" w:hint="default"/>
        <w:b w:val="0"/>
        <w:i w:val="0"/>
        <w:sz w:val="24"/>
      </w:rPr>
    </w:lvl>
    <w:lvl w:ilvl="5">
      <w:start w:val="1"/>
      <w:numFmt w:val="lowerRoman"/>
      <w:lvlText w:val="%6)"/>
      <w:lvlJc w:val="left"/>
      <w:pPr>
        <w:tabs>
          <w:tab w:val="num" w:pos="1627"/>
        </w:tabs>
        <w:ind w:left="1304" w:hanging="397"/>
      </w:pPr>
    </w:lvl>
    <w:lvl w:ilvl="6">
      <w:start w:val="1"/>
      <w:numFmt w:val="upperLetter"/>
      <w:lvlText w:val="%7."/>
      <w:lvlJc w:val="left"/>
      <w:pPr>
        <w:tabs>
          <w:tab w:val="num" w:pos="1664"/>
        </w:tabs>
        <w:ind w:left="1588" w:hanging="284"/>
      </w:pPr>
    </w:lvl>
    <w:lvl w:ilvl="7">
      <w:start w:val="1"/>
      <w:numFmt w:val="bullet"/>
      <w:lvlText w:val=""/>
      <w:lvlJc w:val="left"/>
      <w:pPr>
        <w:tabs>
          <w:tab w:val="num" w:pos="814"/>
        </w:tabs>
        <w:ind w:left="794" w:hanging="340"/>
      </w:pPr>
      <w:rPr>
        <w:rFonts w:ascii="Wingdings" w:hAnsi="Wingdings" w:hint="default"/>
      </w:rPr>
    </w:lvl>
    <w:lvl w:ilvl="8">
      <w:start w:val="1"/>
      <w:numFmt w:val="none"/>
      <w:lvlRestart w:val="0"/>
      <w:suff w:val="nothing"/>
      <w:lvlText w:val="%9"/>
      <w:lvlJc w:val="right"/>
      <w:pPr>
        <w:ind w:left="0" w:firstLine="0"/>
      </w:pPr>
    </w:lvl>
  </w:abstractNum>
  <w:abstractNum w:abstractNumId="4">
    <w:nsid w:val="0B334A77"/>
    <w:multiLevelType w:val="hybridMultilevel"/>
    <w:tmpl w:val="29EA7004"/>
    <w:lvl w:ilvl="0" w:tplc="CDCC8E08">
      <w:start w:val="1"/>
      <w:numFmt w:val="bullet"/>
      <w:lvlText w:val=""/>
      <w:lvlJc w:val="left"/>
      <w:pPr>
        <w:ind w:left="360" w:hanging="360"/>
      </w:pPr>
      <w:rPr>
        <w:rFonts w:ascii="Wingdings" w:hAnsi="Wingdings" w:hint="default"/>
        <w:sz w:val="22"/>
        <w:szCs w:val="22"/>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5">
    <w:nsid w:val="0E144FED"/>
    <w:multiLevelType w:val="hybridMultilevel"/>
    <w:tmpl w:val="B75A8A0A"/>
    <w:lvl w:ilvl="0" w:tplc="041B0017">
      <w:start w:val="1"/>
      <w:numFmt w:val="lowerLetter"/>
      <w:lvlText w:val="%1)"/>
      <w:lvlJc w:val="left"/>
      <w:pPr>
        <w:ind w:left="862" w:hanging="360"/>
      </w:pPr>
    </w:lvl>
    <w:lvl w:ilvl="1" w:tplc="2A846092">
      <w:start w:val="1"/>
      <w:numFmt w:val="decimal"/>
      <w:lvlText w:val="%2."/>
      <w:lvlJc w:val="left"/>
      <w:pPr>
        <w:ind w:left="1582" w:hanging="360"/>
      </w:pPr>
      <w:rPr>
        <w:rFonts w:hint="default"/>
      </w:r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
    <w:nsid w:val="0E6B5611"/>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
    <w:nsid w:val="191F00F6"/>
    <w:multiLevelType w:val="hybridMultilevel"/>
    <w:tmpl w:val="1C123A82"/>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nsid w:val="1EC40206"/>
    <w:multiLevelType w:val="hybridMultilevel"/>
    <w:tmpl w:val="4934CBE0"/>
    <w:lvl w:ilvl="0" w:tplc="7B90BFE4">
      <w:start w:val="1"/>
      <w:numFmt w:val="decimal"/>
      <w:lvlText w:val="%1."/>
      <w:lvlJc w:val="left"/>
      <w:pPr>
        <w:ind w:left="1494" w:hanging="360"/>
      </w:pPr>
      <w:rPr>
        <w:rFonts w:cs="Times New Roman" w:hint="default"/>
      </w:rPr>
    </w:lvl>
    <w:lvl w:ilvl="1" w:tplc="041B0019">
      <w:start w:val="1"/>
      <w:numFmt w:val="lowerLetter"/>
      <w:lvlText w:val="%2."/>
      <w:lvlJc w:val="left"/>
      <w:pPr>
        <w:ind w:left="2214" w:hanging="360"/>
      </w:pPr>
      <w:rPr>
        <w:rFonts w:cs="Times New Roman"/>
      </w:rPr>
    </w:lvl>
    <w:lvl w:ilvl="2" w:tplc="041B001B" w:tentative="1">
      <w:start w:val="1"/>
      <w:numFmt w:val="lowerRoman"/>
      <w:lvlText w:val="%3."/>
      <w:lvlJc w:val="right"/>
      <w:pPr>
        <w:ind w:left="2934" w:hanging="180"/>
      </w:pPr>
      <w:rPr>
        <w:rFonts w:cs="Times New Roman"/>
      </w:rPr>
    </w:lvl>
    <w:lvl w:ilvl="3" w:tplc="041B000F" w:tentative="1">
      <w:start w:val="1"/>
      <w:numFmt w:val="decimal"/>
      <w:lvlText w:val="%4."/>
      <w:lvlJc w:val="left"/>
      <w:pPr>
        <w:ind w:left="3654" w:hanging="360"/>
      </w:pPr>
      <w:rPr>
        <w:rFonts w:cs="Times New Roman"/>
      </w:rPr>
    </w:lvl>
    <w:lvl w:ilvl="4" w:tplc="041B0019" w:tentative="1">
      <w:start w:val="1"/>
      <w:numFmt w:val="lowerLetter"/>
      <w:lvlText w:val="%5."/>
      <w:lvlJc w:val="left"/>
      <w:pPr>
        <w:ind w:left="4374" w:hanging="360"/>
      </w:pPr>
      <w:rPr>
        <w:rFonts w:cs="Times New Roman"/>
      </w:rPr>
    </w:lvl>
    <w:lvl w:ilvl="5" w:tplc="041B001B" w:tentative="1">
      <w:start w:val="1"/>
      <w:numFmt w:val="lowerRoman"/>
      <w:lvlText w:val="%6."/>
      <w:lvlJc w:val="right"/>
      <w:pPr>
        <w:ind w:left="5094" w:hanging="180"/>
      </w:pPr>
      <w:rPr>
        <w:rFonts w:cs="Times New Roman"/>
      </w:rPr>
    </w:lvl>
    <w:lvl w:ilvl="6" w:tplc="041B000F" w:tentative="1">
      <w:start w:val="1"/>
      <w:numFmt w:val="decimal"/>
      <w:lvlText w:val="%7."/>
      <w:lvlJc w:val="left"/>
      <w:pPr>
        <w:ind w:left="5814" w:hanging="360"/>
      </w:pPr>
      <w:rPr>
        <w:rFonts w:cs="Times New Roman"/>
      </w:rPr>
    </w:lvl>
    <w:lvl w:ilvl="7" w:tplc="041B0019" w:tentative="1">
      <w:start w:val="1"/>
      <w:numFmt w:val="lowerLetter"/>
      <w:lvlText w:val="%8."/>
      <w:lvlJc w:val="left"/>
      <w:pPr>
        <w:ind w:left="6534" w:hanging="360"/>
      </w:pPr>
      <w:rPr>
        <w:rFonts w:cs="Times New Roman"/>
      </w:rPr>
    </w:lvl>
    <w:lvl w:ilvl="8" w:tplc="041B001B" w:tentative="1">
      <w:start w:val="1"/>
      <w:numFmt w:val="lowerRoman"/>
      <w:lvlText w:val="%9."/>
      <w:lvlJc w:val="right"/>
      <w:pPr>
        <w:ind w:left="7254" w:hanging="180"/>
      </w:pPr>
      <w:rPr>
        <w:rFonts w:cs="Times New Roman"/>
      </w:rPr>
    </w:lvl>
  </w:abstractNum>
  <w:abstractNum w:abstractNumId="9">
    <w:nsid w:val="25777A01"/>
    <w:multiLevelType w:val="hybridMultilevel"/>
    <w:tmpl w:val="5A421B10"/>
    <w:lvl w:ilvl="0" w:tplc="D74E610A">
      <w:start w:val="1"/>
      <w:numFmt w:val="decimal"/>
      <w:lvlText w:val="3.%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25B95E35"/>
    <w:multiLevelType w:val="hybridMultilevel"/>
    <w:tmpl w:val="A3044BB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1">
    <w:nsid w:val="2D23521D"/>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2">
    <w:nsid w:val="33EB6A16"/>
    <w:multiLevelType w:val="hybridMultilevel"/>
    <w:tmpl w:val="4288F06C"/>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3">
    <w:nsid w:val="35F40B6D"/>
    <w:multiLevelType w:val="hybridMultilevel"/>
    <w:tmpl w:val="AB66F4EE"/>
    <w:lvl w:ilvl="0" w:tplc="3A92655A">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nsid w:val="368C4C95"/>
    <w:multiLevelType w:val="hybridMultilevel"/>
    <w:tmpl w:val="59F20EC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39E077CE"/>
    <w:multiLevelType w:val="hybridMultilevel"/>
    <w:tmpl w:val="4A1A51CA"/>
    <w:lvl w:ilvl="0" w:tplc="7CCC3FD6">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nsid w:val="3B48708E"/>
    <w:multiLevelType w:val="multilevel"/>
    <w:tmpl w:val="CA5A76B0"/>
    <w:styleLink w:val="tl3"/>
    <w:lvl w:ilvl="0">
      <w:start w:val="5"/>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3"/>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nsid w:val="3E352831"/>
    <w:multiLevelType w:val="hybridMultilevel"/>
    <w:tmpl w:val="72EC47B6"/>
    <w:lvl w:ilvl="0" w:tplc="242C2AAC">
      <w:start w:val="1"/>
      <w:numFmt w:val="low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8">
    <w:nsid w:val="52112D3B"/>
    <w:multiLevelType w:val="hybridMultilevel"/>
    <w:tmpl w:val="BE24FE9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9">
    <w:nsid w:val="592526D6"/>
    <w:multiLevelType w:val="hybridMultilevel"/>
    <w:tmpl w:val="0B3E9B2C"/>
    <w:lvl w:ilvl="0" w:tplc="9DB6F41A">
      <w:start w:val="1"/>
      <w:numFmt w:val="decimal"/>
      <w:lvlText w:val="%1."/>
      <w:lvlJc w:val="right"/>
      <w:pPr>
        <w:ind w:left="2160" w:hanging="360"/>
      </w:pPr>
      <w:rPr>
        <w:rFonts w:cs="Times New Roman" w:hint="default"/>
        <w:color w:val="auto"/>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20">
    <w:nsid w:val="5B14560F"/>
    <w:multiLevelType w:val="hybridMultilevel"/>
    <w:tmpl w:val="2A52DA5E"/>
    <w:lvl w:ilvl="0" w:tplc="D5AE2544">
      <w:start w:val="1"/>
      <w:numFmt w:val="decimal"/>
      <w:lvlText w:val="1.%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650379DE"/>
    <w:multiLevelType w:val="hybridMultilevel"/>
    <w:tmpl w:val="F2621AB8"/>
    <w:lvl w:ilvl="0" w:tplc="92FA2112">
      <w:start w:val="1"/>
      <w:numFmt w:val="decimal"/>
      <w:lvlText w:val="2.%1"/>
      <w:lvlJc w:val="left"/>
      <w:pPr>
        <w:ind w:left="720" w:hanging="360"/>
      </w:pPr>
      <w:rPr>
        <w:rFonts w:hint="default"/>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66730DFB"/>
    <w:multiLevelType w:val="hybridMultilevel"/>
    <w:tmpl w:val="7E38BEA2"/>
    <w:lvl w:ilvl="0" w:tplc="B59EF61E">
      <w:start w:val="1"/>
      <w:numFmt w:val="lowerRoman"/>
      <w:lvlText w:val="(%1)"/>
      <w:lvlJc w:val="left"/>
      <w:pPr>
        <w:ind w:left="1080" w:hanging="72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69A81CB8"/>
    <w:multiLevelType w:val="hybridMultilevel"/>
    <w:tmpl w:val="501807F6"/>
    <w:lvl w:ilvl="0" w:tplc="D5D2714C">
      <w:start w:val="1"/>
      <w:numFmt w:val="decimal"/>
      <w:lvlText w:val="%1."/>
      <w:lvlJc w:val="left"/>
      <w:pPr>
        <w:ind w:left="720" w:hanging="360"/>
      </w:pPr>
      <w:rPr>
        <w:rFonts w:cs="Times New Roman" w:hint="default"/>
        <w:sz w:val="24"/>
        <w:szCs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nsid w:val="6BDD4287"/>
    <w:multiLevelType w:val="hybridMultilevel"/>
    <w:tmpl w:val="D44E6474"/>
    <w:lvl w:ilvl="0" w:tplc="041B001B">
      <w:start w:val="1"/>
      <w:numFmt w:val="lowerRoman"/>
      <w:lvlText w:val="%1."/>
      <w:lvlJc w:val="righ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FFD0D27"/>
    <w:multiLevelType w:val="hybridMultilevel"/>
    <w:tmpl w:val="AFFE3060"/>
    <w:lvl w:ilvl="0" w:tplc="8FF2B9CE">
      <w:start w:val="1"/>
      <w:numFmt w:val="lowerLetter"/>
      <w:lvlText w:val="%1)"/>
      <w:lvlJc w:val="left"/>
      <w:pPr>
        <w:ind w:left="712" w:hanging="57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6">
    <w:nsid w:val="73607E2B"/>
    <w:multiLevelType w:val="hybridMultilevel"/>
    <w:tmpl w:val="F5BA9CDC"/>
    <w:lvl w:ilvl="0" w:tplc="07EA0EF4">
      <w:start w:val="1"/>
      <w:numFmt w:val="lowerRoman"/>
      <w:lvlText w:val="(%1)"/>
      <w:lvlJc w:val="left"/>
      <w:pPr>
        <w:ind w:left="862" w:hanging="72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27">
    <w:nsid w:val="754A6766"/>
    <w:multiLevelType w:val="hybridMultilevel"/>
    <w:tmpl w:val="D5687326"/>
    <w:lvl w:ilvl="0" w:tplc="C6A4F40A">
      <w:start w:val="813"/>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8">
    <w:nsid w:val="766C4EC9"/>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29">
    <w:nsid w:val="769E4EAE"/>
    <w:multiLevelType w:val="hybridMultilevel"/>
    <w:tmpl w:val="73CCF492"/>
    <w:lvl w:ilvl="0" w:tplc="9DB6F41A">
      <w:start w:val="1"/>
      <w:numFmt w:val="decimal"/>
      <w:lvlText w:val="%1."/>
      <w:lvlJc w:val="right"/>
      <w:pPr>
        <w:ind w:left="436" w:hanging="360"/>
      </w:pPr>
      <w:rPr>
        <w:rFonts w:cs="Times New Roman" w:hint="default"/>
        <w:color w:val="auto"/>
      </w:rPr>
    </w:lvl>
    <w:lvl w:ilvl="1" w:tplc="041B0019" w:tentative="1">
      <w:start w:val="1"/>
      <w:numFmt w:val="lowerLetter"/>
      <w:lvlText w:val="%2."/>
      <w:lvlJc w:val="left"/>
      <w:pPr>
        <w:ind w:left="1156" w:hanging="360"/>
      </w:pPr>
    </w:lvl>
    <w:lvl w:ilvl="2" w:tplc="041B001B" w:tentative="1">
      <w:start w:val="1"/>
      <w:numFmt w:val="lowerRoman"/>
      <w:lvlText w:val="%3."/>
      <w:lvlJc w:val="right"/>
      <w:pPr>
        <w:ind w:left="1876" w:hanging="180"/>
      </w:pPr>
    </w:lvl>
    <w:lvl w:ilvl="3" w:tplc="041B000F" w:tentative="1">
      <w:start w:val="1"/>
      <w:numFmt w:val="decimal"/>
      <w:lvlText w:val="%4."/>
      <w:lvlJc w:val="left"/>
      <w:pPr>
        <w:ind w:left="2596" w:hanging="360"/>
      </w:pPr>
    </w:lvl>
    <w:lvl w:ilvl="4" w:tplc="041B0019" w:tentative="1">
      <w:start w:val="1"/>
      <w:numFmt w:val="lowerLetter"/>
      <w:lvlText w:val="%5."/>
      <w:lvlJc w:val="left"/>
      <w:pPr>
        <w:ind w:left="3316" w:hanging="360"/>
      </w:pPr>
    </w:lvl>
    <w:lvl w:ilvl="5" w:tplc="041B001B" w:tentative="1">
      <w:start w:val="1"/>
      <w:numFmt w:val="lowerRoman"/>
      <w:lvlText w:val="%6."/>
      <w:lvlJc w:val="right"/>
      <w:pPr>
        <w:ind w:left="4036" w:hanging="180"/>
      </w:pPr>
    </w:lvl>
    <w:lvl w:ilvl="6" w:tplc="041B000F" w:tentative="1">
      <w:start w:val="1"/>
      <w:numFmt w:val="decimal"/>
      <w:lvlText w:val="%7."/>
      <w:lvlJc w:val="left"/>
      <w:pPr>
        <w:ind w:left="4756" w:hanging="360"/>
      </w:pPr>
    </w:lvl>
    <w:lvl w:ilvl="7" w:tplc="041B0019" w:tentative="1">
      <w:start w:val="1"/>
      <w:numFmt w:val="lowerLetter"/>
      <w:lvlText w:val="%8."/>
      <w:lvlJc w:val="left"/>
      <w:pPr>
        <w:ind w:left="5476" w:hanging="360"/>
      </w:pPr>
    </w:lvl>
    <w:lvl w:ilvl="8" w:tplc="041B001B" w:tentative="1">
      <w:start w:val="1"/>
      <w:numFmt w:val="lowerRoman"/>
      <w:lvlText w:val="%9."/>
      <w:lvlJc w:val="right"/>
      <w:pPr>
        <w:ind w:left="6196" w:hanging="180"/>
      </w:pPr>
    </w:lvl>
  </w:abstractNum>
  <w:abstractNum w:abstractNumId="30">
    <w:nsid w:val="784B28D0"/>
    <w:multiLevelType w:val="hybridMultilevel"/>
    <w:tmpl w:val="4AFE6286"/>
    <w:lvl w:ilvl="0" w:tplc="041B0017">
      <w:start w:val="1"/>
      <w:numFmt w:val="lowerLetter"/>
      <w:lvlText w:val="%1)"/>
      <w:lvlJc w:val="left"/>
      <w:pPr>
        <w:ind w:left="720" w:hanging="360"/>
      </w:pPr>
    </w:lvl>
    <w:lvl w:ilvl="1" w:tplc="21703868">
      <w:start w:val="1"/>
      <w:numFmt w:val="decimal"/>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nsid w:val="797601D8"/>
    <w:multiLevelType w:val="hybridMultilevel"/>
    <w:tmpl w:val="BB4A948A"/>
    <w:lvl w:ilvl="0" w:tplc="041B000F">
      <w:start w:val="1"/>
      <w:numFmt w:val="decimal"/>
      <w:lvlText w:val="%1."/>
      <w:lvlJc w:val="left"/>
      <w:pPr>
        <w:ind w:left="1004" w:hanging="360"/>
      </w:pPr>
    </w:lvl>
    <w:lvl w:ilvl="1" w:tplc="041B0019">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lvlOverride w:ilvl="8">
      <w:startOverride w:val="1"/>
    </w:lvlOverride>
  </w:num>
  <w:num w:numId="2">
    <w:abstractNumId w:val="16"/>
  </w:num>
  <w:num w:numId="3">
    <w:abstractNumId w:val="4"/>
  </w:num>
  <w:num w:numId="4">
    <w:abstractNumId w:val="27"/>
  </w:num>
  <w:num w:numId="5">
    <w:abstractNumId w:val="28"/>
  </w:num>
  <w:num w:numId="6">
    <w:abstractNumId w:val="29"/>
  </w:num>
  <w:num w:numId="7">
    <w:abstractNumId w:val="8"/>
  </w:num>
  <w:num w:numId="8">
    <w:abstractNumId w:val="1"/>
  </w:num>
  <w:num w:numId="9">
    <w:abstractNumId w:val="0"/>
  </w:num>
  <w:num w:numId="10">
    <w:abstractNumId w:val="2"/>
  </w:num>
  <w:num w:numId="11">
    <w:abstractNumId w:val="30"/>
  </w:num>
  <w:num w:numId="12">
    <w:abstractNumId w:val="6"/>
  </w:num>
  <w:num w:numId="13">
    <w:abstractNumId w:val="19"/>
  </w:num>
  <w:num w:numId="14">
    <w:abstractNumId w:val="23"/>
  </w:num>
  <w:num w:numId="15">
    <w:abstractNumId w:val="20"/>
  </w:num>
  <w:num w:numId="16">
    <w:abstractNumId w:val="13"/>
  </w:num>
  <w:num w:numId="17">
    <w:abstractNumId w:val="9"/>
  </w:num>
  <w:num w:numId="18">
    <w:abstractNumId w:val="14"/>
  </w:num>
  <w:num w:numId="19">
    <w:abstractNumId w:val="12"/>
  </w:num>
  <w:num w:numId="20">
    <w:abstractNumId w:val="26"/>
  </w:num>
  <w:num w:numId="21">
    <w:abstractNumId w:val="24"/>
  </w:num>
  <w:num w:numId="22">
    <w:abstractNumId w:val="22"/>
  </w:num>
  <w:num w:numId="23">
    <w:abstractNumId w:val="5"/>
  </w:num>
  <w:num w:numId="24">
    <w:abstractNumId w:val="25"/>
  </w:num>
  <w:num w:numId="25">
    <w:abstractNumId w:val="10"/>
  </w:num>
  <w:num w:numId="26">
    <w:abstractNumId w:val="17"/>
  </w:num>
  <w:num w:numId="27">
    <w:abstractNumId w:val="7"/>
  </w:num>
  <w:num w:numId="28">
    <w:abstractNumId w:val="15"/>
  </w:num>
  <w:num w:numId="29">
    <w:abstractNumId w:val="31"/>
  </w:num>
  <w:num w:numId="30">
    <w:abstractNumId w:val="18"/>
  </w:num>
  <w:num w:numId="31">
    <w:abstractNumId w:val="11"/>
  </w:num>
  <w:num w:numId="32">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ocumentProtection w:edit="forms" w:enforcement="1" w:cryptProviderType="rsaFull" w:cryptAlgorithmClass="hash" w:cryptAlgorithmType="typeAny" w:cryptAlgorithmSid="4" w:cryptSpinCount="100000" w:hash="OMWH3foRZf3WIaPlpfumfi5V3UQ=" w:salt="jFGrveGT2ffRC5a8wR32Qg=="/>
  <w:defaultTabStop w:val="708"/>
  <w:hyphenationZone w:val="425"/>
  <w:doNotShadeFormData/>
  <w:characterSpacingControl w:val="doNotCompress"/>
  <w:hdrShapeDefaults>
    <o:shapedefaults v:ext="edit" spidmax="120833"/>
  </w:hdrShapeDefaults>
  <w:footnotePr>
    <w:footnote w:id="-1"/>
    <w:footnote w:id="0"/>
  </w:footnotePr>
  <w:endnotePr>
    <w:numFmt w:val="decimal"/>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5632"/>
    <w:rsid w:val="0000039D"/>
    <w:rsid w:val="0000077A"/>
    <w:rsid w:val="0000196D"/>
    <w:rsid w:val="000046B2"/>
    <w:rsid w:val="00007857"/>
    <w:rsid w:val="000137A4"/>
    <w:rsid w:val="0001491D"/>
    <w:rsid w:val="0002026C"/>
    <w:rsid w:val="000228F3"/>
    <w:rsid w:val="00026EEE"/>
    <w:rsid w:val="00030037"/>
    <w:rsid w:val="00030DDF"/>
    <w:rsid w:val="00031834"/>
    <w:rsid w:val="00035FBC"/>
    <w:rsid w:val="00036C4B"/>
    <w:rsid w:val="00042567"/>
    <w:rsid w:val="000502F7"/>
    <w:rsid w:val="00053535"/>
    <w:rsid w:val="000606DF"/>
    <w:rsid w:val="0006440F"/>
    <w:rsid w:val="0007067F"/>
    <w:rsid w:val="00070730"/>
    <w:rsid w:val="00072341"/>
    <w:rsid w:val="0007586A"/>
    <w:rsid w:val="000860D2"/>
    <w:rsid w:val="0008642F"/>
    <w:rsid w:val="0009486B"/>
    <w:rsid w:val="00095E74"/>
    <w:rsid w:val="000A083C"/>
    <w:rsid w:val="000A13DE"/>
    <w:rsid w:val="000A1E4C"/>
    <w:rsid w:val="000A3713"/>
    <w:rsid w:val="000A3949"/>
    <w:rsid w:val="000A42C2"/>
    <w:rsid w:val="000A45FA"/>
    <w:rsid w:val="000A4AC6"/>
    <w:rsid w:val="000A781F"/>
    <w:rsid w:val="000B20EB"/>
    <w:rsid w:val="000B7376"/>
    <w:rsid w:val="000C722A"/>
    <w:rsid w:val="000D1A5A"/>
    <w:rsid w:val="000D338C"/>
    <w:rsid w:val="000D6306"/>
    <w:rsid w:val="000D6C45"/>
    <w:rsid w:val="000D774F"/>
    <w:rsid w:val="000E1898"/>
    <w:rsid w:val="000E67C0"/>
    <w:rsid w:val="000F294C"/>
    <w:rsid w:val="000F334C"/>
    <w:rsid w:val="000F34AD"/>
    <w:rsid w:val="000F36E3"/>
    <w:rsid w:val="000F44E1"/>
    <w:rsid w:val="000F4C8B"/>
    <w:rsid w:val="000F586E"/>
    <w:rsid w:val="000F6858"/>
    <w:rsid w:val="000F7F27"/>
    <w:rsid w:val="001040D3"/>
    <w:rsid w:val="00106BF0"/>
    <w:rsid w:val="00107DAC"/>
    <w:rsid w:val="00112A91"/>
    <w:rsid w:val="00115981"/>
    <w:rsid w:val="001168A6"/>
    <w:rsid w:val="00124AFB"/>
    <w:rsid w:val="00126D25"/>
    <w:rsid w:val="00127594"/>
    <w:rsid w:val="0013077B"/>
    <w:rsid w:val="00140924"/>
    <w:rsid w:val="00141599"/>
    <w:rsid w:val="0014376F"/>
    <w:rsid w:val="00146DC6"/>
    <w:rsid w:val="00157C44"/>
    <w:rsid w:val="0016169B"/>
    <w:rsid w:val="001616BB"/>
    <w:rsid w:val="00163220"/>
    <w:rsid w:val="00163452"/>
    <w:rsid w:val="00166F63"/>
    <w:rsid w:val="001670B7"/>
    <w:rsid w:val="00172913"/>
    <w:rsid w:val="001806D9"/>
    <w:rsid w:val="0018139E"/>
    <w:rsid w:val="001829CD"/>
    <w:rsid w:val="0018308B"/>
    <w:rsid w:val="00185BB1"/>
    <w:rsid w:val="00192483"/>
    <w:rsid w:val="001938E9"/>
    <w:rsid w:val="001948AA"/>
    <w:rsid w:val="001A15E9"/>
    <w:rsid w:val="001A2187"/>
    <w:rsid w:val="001A2581"/>
    <w:rsid w:val="001A2FFA"/>
    <w:rsid w:val="001A585F"/>
    <w:rsid w:val="001A6EB7"/>
    <w:rsid w:val="001A7506"/>
    <w:rsid w:val="001B027E"/>
    <w:rsid w:val="001B26E6"/>
    <w:rsid w:val="001B47EB"/>
    <w:rsid w:val="001B7FB1"/>
    <w:rsid w:val="001C0439"/>
    <w:rsid w:val="001C1E71"/>
    <w:rsid w:val="001C6693"/>
    <w:rsid w:val="001D764A"/>
    <w:rsid w:val="001E3A6A"/>
    <w:rsid w:val="001E5DAB"/>
    <w:rsid w:val="001E6890"/>
    <w:rsid w:val="001F113B"/>
    <w:rsid w:val="001F1734"/>
    <w:rsid w:val="001F3629"/>
    <w:rsid w:val="001F508C"/>
    <w:rsid w:val="001F7E0B"/>
    <w:rsid w:val="00200DC4"/>
    <w:rsid w:val="0020180B"/>
    <w:rsid w:val="00205316"/>
    <w:rsid w:val="0020596B"/>
    <w:rsid w:val="00207A52"/>
    <w:rsid w:val="002175E8"/>
    <w:rsid w:val="0021796B"/>
    <w:rsid w:val="00217AD6"/>
    <w:rsid w:val="0022101B"/>
    <w:rsid w:val="0022266A"/>
    <w:rsid w:val="00224FD8"/>
    <w:rsid w:val="00227E51"/>
    <w:rsid w:val="002316F3"/>
    <w:rsid w:val="0024372C"/>
    <w:rsid w:val="002477E0"/>
    <w:rsid w:val="002522B7"/>
    <w:rsid w:val="00252450"/>
    <w:rsid w:val="00252642"/>
    <w:rsid w:val="00253241"/>
    <w:rsid w:val="00253FDB"/>
    <w:rsid w:val="00254B3F"/>
    <w:rsid w:val="0025716B"/>
    <w:rsid w:val="002624C7"/>
    <w:rsid w:val="00263929"/>
    <w:rsid w:val="00263F3B"/>
    <w:rsid w:val="00265764"/>
    <w:rsid w:val="00265D1F"/>
    <w:rsid w:val="0027231A"/>
    <w:rsid w:val="0027408E"/>
    <w:rsid w:val="00274944"/>
    <w:rsid w:val="00275503"/>
    <w:rsid w:val="00286E8C"/>
    <w:rsid w:val="00291B2B"/>
    <w:rsid w:val="00293F6E"/>
    <w:rsid w:val="00294976"/>
    <w:rsid w:val="0029506F"/>
    <w:rsid w:val="00296BD4"/>
    <w:rsid w:val="002A56D4"/>
    <w:rsid w:val="002A67FA"/>
    <w:rsid w:val="002B065B"/>
    <w:rsid w:val="002B7D40"/>
    <w:rsid w:val="002C490A"/>
    <w:rsid w:val="002C678F"/>
    <w:rsid w:val="002C6C26"/>
    <w:rsid w:val="002C75AD"/>
    <w:rsid w:val="002D465F"/>
    <w:rsid w:val="002D5890"/>
    <w:rsid w:val="002E0E05"/>
    <w:rsid w:val="002E20C7"/>
    <w:rsid w:val="002E6808"/>
    <w:rsid w:val="002F07AA"/>
    <w:rsid w:val="002F126A"/>
    <w:rsid w:val="002F23D7"/>
    <w:rsid w:val="00301C3A"/>
    <w:rsid w:val="0030726A"/>
    <w:rsid w:val="0031029A"/>
    <w:rsid w:val="00311A39"/>
    <w:rsid w:val="003130ED"/>
    <w:rsid w:val="003164DC"/>
    <w:rsid w:val="00317A5D"/>
    <w:rsid w:val="00320A32"/>
    <w:rsid w:val="00330B4E"/>
    <w:rsid w:val="00332D83"/>
    <w:rsid w:val="00333010"/>
    <w:rsid w:val="0033798E"/>
    <w:rsid w:val="00344122"/>
    <w:rsid w:val="00346AB1"/>
    <w:rsid w:val="00350634"/>
    <w:rsid w:val="00351083"/>
    <w:rsid w:val="003522DC"/>
    <w:rsid w:val="0035232F"/>
    <w:rsid w:val="003548A2"/>
    <w:rsid w:val="00356C8E"/>
    <w:rsid w:val="00356CA4"/>
    <w:rsid w:val="003638DD"/>
    <w:rsid w:val="003644A3"/>
    <w:rsid w:val="00366C51"/>
    <w:rsid w:val="003766B2"/>
    <w:rsid w:val="00376986"/>
    <w:rsid w:val="00377319"/>
    <w:rsid w:val="0038376D"/>
    <w:rsid w:val="0038467D"/>
    <w:rsid w:val="00387139"/>
    <w:rsid w:val="0039729D"/>
    <w:rsid w:val="003A1F82"/>
    <w:rsid w:val="003A49CB"/>
    <w:rsid w:val="003A5A1A"/>
    <w:rsid w:val="003B0552"/>
    <w:rsid w:val="003B0A67"/>
    <w:rsid w:val="003B154B"/>
    <w:rsid w:val="003B2070"/>
    <w:rsid w:val="003B269B"/>
    <w:rsid w:val="003B4BC6"/>
    <w:rsid w:val="003C093D"/>
    <w:rsid w:val="003C2395"/>
    <w:rsid w:val="003C2884"/>
    <w:rsid w:val="003C2965"/>
    <w:rsid w:val="003C7845"/>
    <w:rsid w:val="003D0555"/>
    <w:rsid w:val="003D33BA"/>
    <w:rsid w:val="003D4521"/>
    <w:rsid w:val="003E2BEB"/>
    <w:rsid w:val="003E5491"/>
    <w:rsid w:val="003E5D0D"/>
    <w:rsid w:val="003F58D9"/>
    <w:rsid w:val="00400271"/>
    <w:rsid w:val="00416A87"/>
    <w:rsid w:val="004207DD"/>
    <w:rsid w:val="00422925"/>
    <w:rsid w:val="004247FD"/>
    <w:rsid w:val="004271B8"/>
    <w:rsid w:val="00431CA9"/>
    <w:rsid w:val="004338A5"/>
    <w:rsid w:val="00434613"/>
    <w:rsid w:val="00435046"/>
    <w:rsid w:val="00437548"/>
    <w:rsid w:val="0044018C"/>
    <w:rsid w:val="004442A4"/>
    <w:rsid w:val="00445262"/>
    <w:rsid w:val="0044697E"/>
    <w:rsid w:val="00450710"/>
    <w:rsid w:val="00452954"/>
    <w:rsid w:val="00453362"/>
    <w:rsid w:val="00453A6C"/>
    <w:rsid w:val="00455B16"/>
    <w:rsid w:val="00455B77"/>
    <w:rsid w:val="00456310"/>
    <w:rsid w:val="00460C3B"/>
    <w:rsid w:val="00462994"/>
    <w:rsid w:val="0046492F"/>
    <w:rsid w:val="00464FD6"/>
    <w:rsid w:val="0046583A"/>
    <w:rsid w:val="004700ED"/>
    <w:rsid w:val="00470EB1"/>
    <w:rsid w:val="00476F42"/>
    <w:rsid w:val="00481744"/>
    <w:rsid w:val="004823CE"/>
    <w:rsid w:val="00482962"/>
    <w:rsid w:val="004837DE"/>
    <w:rsid w:val="0049294F"/>
    <w:rsid w:val="004933C0"/>
    <w:rsid w:val="0049754D"/>
    <w:rsid w:val="004A2A58"/>
    <w:rsid w:val="004A615B"/>
    <w:rsid w:val="004B00B1"/>
    <w:rsid w:val="004B2FE0"/>
    <w:rsid w:val="004B34DA"/>
    <w:rsid w:val="004B60CB"/>
    <w:rsid w:val="004B69FC"/>
    <w:rsid w:val="004C2C39"/>
    <w:rsid w:val="004C3602"/>
    <w:rsid w:val="004C43DF"/>
    <w:rsid w:val="004C62E7"/>
    <w:rsid w:val="004D48B7"/>
    <w:rsid w:val="004D7CC1"/>
    <w:rsid w:val="004E058E"/>
    <w:rsid w:val="004E196F"/>
    <w:rsid w:val="004E5E4B"/>
    <w:rsid w:val="004F0876"/>
    <w:rsid w:val="004F1105"/>
    <w:rsid w:val="004F5632"/>
    <w:rsid w:val="004F79C8"/>
    <w:rsid w:val="00501DAB"/>
    <w:rsid w:val="00505776"/>
    <w:rsid w:val="0050594C"/>
    <w:rsid w:val="00512553"/>
    <w:rsid w:val="005178F4"/>
    <w:rsid w:val="00520600"/>
    <w:rsid w:val="00520BBF"/>
    <w:rsid w:val="0052215C"/>
    <w:rsid w:val="00534D5C"/>
    <w:rsid w:val="00540D75"/>
    <w:rsid w:val="005415F3"/>
    <w:rsid w:val="00542752"/>
    <w:rsid w:val="0055289F"/>
    <w:rsid w:val="00552E95"/>
    <w:rsid w:val="005531B4"/>
    <w:rsid w:val="00554F63"/>
    <w:rsid w:val="0055625D"/>
    <w:rsid w:val="00557288"/>
    <w:rsid w:val="00563F0D"/>
    <w:rsid w:val="00566469"/>
    <w:rsid w:val="00573771"/>
    <w:rsid w:val="0057455C"/>
    <w:rsid w:val="005752F8"/>
    <w:rsid w:val="00590562"/>
    <w:rsid w:val="00596211"/>
    <w:rsid w:val="00596432"/>
    <w:rsid w:val="005978DD"/>
    <w:rsid w:val="005A19B1"/>
    <w:rsid w:val="005A3354"/>
    <w:rsid w:val="005A70E6"/>
    <w:rsid w:val="005B0896"/>
    <w:rsid w:val="005B1DBD"/>
    <w:rsid w:val="005B3664"/>
    <w:rsid w:val="005B6930"/>
    <w:rsid w:val="005B78FD"/>
    <w:rsid w:val="005C008D"/>
    <w:rsid w:val="005C32FC"/>
    <w:rsid w:val="005D39E8"/>
    <w:rsid w:val="005D5095"/>
    <w:rsid w:val="005D5C14"/>
    <w:rsid w:val="005E27DF"/>
    <w:rsid w:val="005E40A1"/>
    <w:rsid w:val="005E765E"/>
    <w:rsid w:val="005F109F"/>
    <w:rsid w:val="005F3185"/>
    <w:rsid w:val="005F3531"/>
    <w:rsid w:val="005F4E6C"/>
    <w:rsid w:val="006042B8"/>
    <w:rsid w:val="0060476E"/>
    <w:rsid w:val="00605B1C"/>
    <w:rsid w:val="006101D4"/>
    <w:rsid w:val="0062171C"/>
    <w:rsid w:val="006243C3"/>
    <w:rsid w:val="00630D4B"/>
    <w:rsid w:val="00631BDC"/>
    <w:rsid w:val="006333A5"/>
    <w:rsid w:val="00634965"/>
    <w:rsid w:val="00635C61"/>
    <w:rsid w:val="00637317"/>
    <w:rsid w:val="00637404"/>
    <w:rsid w:val="006443A7"/>
    <w:rsid w:val="006477D7"/>
    <w:rsid w:val="00647AA0"/>
    <w:rsid w:val="00653A10"/>
    <w:rsid w:val="006634E5"/>
    <w:rsid w:val="006635D6"/>
    <w:rsid w:val="006650F8"/>
    <w:rsid w:val="006665ED"/>
    <w:rsid w:val="0067209A"/>
    <w:rsid w:val="00672750"/>
    <w:rsid w:val="006815ED"/>
    <w:rsid w:val="00682A55"/>
    <w:rsid w:val="0068626D"/>
    <w:rsid w:val="00691602"/>
    <w:rsid w:val="00691D80"/>
    <w:rsid w:val="00692CB3"/>
    <w:rsid w:val="00693758"/>
    <w:rsid w:val="00695947"/>
    <w:rsid w:val="00697160"/>
    <w:rsid w:val="006A2E6B"/>
    <w:rsid w:val="006B2760"/>
    <w:rsid w:val="006B319A"/>
    <w:rsid w:val="006B4714"/>
    <w:rsid w:val="006C6116"/>
    <w:rsid w:val="006D0BA4"/>
    <w:rsid w:val="006D14E6"/>
    <w:rsid w:val="006D28D9"/>
    <w:rsid w:val="006D56DA"/>
    <w:rsid w:val="006D6DD2"/>
    <w:rsid w:val="006E2A25"/>
    <w:rsid w:val="006E2CF4"/>
    <w:rsid w:val="006E3C6B"/>
    <w:rsid w:val="006F3165"/>
    <w:rsid w:val="006F5BDF"/>
    <w:rsid w:val="006F60ED"/>
    <w:rsid w:val="00701F15"/>
    <w:rsid w:val="00702106"/>
    <w:rsid w:val="00702D45"/>
    <w:rsid w:val="00705B38"/>
    <w:rsid w:val="00707BA4"/>
    <w:rsid w:val="0071086C"/>
    <w:rsid w:val="007108C5"/>
    <w:rsid w:val="007113C9"/>
    <w:rsid w:val="00713098"/>
    <w:rsid w:val="007142B6"/>
    <w:rsid w:val="00716010"/>
    <w:rsid w:val="00716857"/>
    <w:rsid w:val="00717E1C"/>
    <w:rsid w:val="0072339C"/>
    <w:rsid w:val="007265C5"/>
    <w:rsid w:val="007267BA"/>
    <w:rsid w:val="00727244"/>
    <w:rsid w:val="0073625C"/>
    <w:rsid w:val="00740B86"/>
    <w:rsid w:val="007474D4"/>
    <w:rsid w:val="00752FBC"/>
    <w:rsid w:val="00753528"/>
    <w:rsid w:val="00761530"/>
    <w:rsid w:val="007624A8"/>
    <w:rsid w:val="00763E85"/>
    <w:rsid w:val="00772440"/>
    <w:rsid w:val="00773566"/>
    <w:rsid w:val="00777B0F"/>
    <w:rsid w:val="0078054F"/>
    <w:rsid w:val="00780C4E"/>
    <w:rsid w:val="007820D7"/>
    <w:rsid w:val="007845F0"/>
    <w:rsid w:val="00786458"/>
    <w:rsid w:val="00787F43"/>
    <w:rsid w:val="007A78B0"/>
    <w:rsid w:val="007B0870"/>
    <w:rsid w:val="007B1080"/>
    <w:rsid w:val="007B6B70"/>
    <w:rsid w:val="007B71AA"/>
    <w:rsid w:val="007C6DB6"/>
    <w:rsid w:val="007C758D"/>
    <w:rsid w:val="007D04FE"/>
    <w:rsid w:val="007D7027"/>
    <w:rsid w:val="007E338C"/>
    <w:rsid w:val="007F2B3F"/>
    <w:rsid w:val="007F2F88"/>
    <w:rsid w:val="007F3CB0"/>
    <w:rsid w:val="007F52FC"/>
    <w:rsid w:val="007F5DB3"/>
    <w:rsid w:val="007F759D"/>
    <w:rsid w:val="00801A47"/>
    <w:rsid w:val="00805325"/>
    <w:rsid w:val="00806626"/>
    <w:rsid w:val="008105A8"/>
    <w:rsid w:val="00810770"/>
    <w:rsid w:val="008126E1"/>
    <w:rsid w:val="00814FEA"/>
    <w:rsid w:val="00820119"/>
    <w:rsid w:val="008224B9"/>
    <w:rsid w:val="00823C5B"/>
    <w:rsid w:val="00826F44"/>
    <w:rsid w:val="00827BE2"/>
    <w:rsid w:val="0083176C"/>
    <w:rsid w:val="0083246A"/>
    <w:rsid w:val="00833081"/>
    <w:rsid w:val="00833673"/>
    <w:rsid w:val="00836B80"/>
    <w:rsid w:val="00836BD0"/>
    <w:rsid w:val="0084119A"/>
    <w:rsid w:val="00843BDE"/>
    <w:rsid w:val="00843C53"/>
    <w:rsid w:val="008443B4"/>
    <w:rsid w:val="008448C5"/>
    <w:rsid w:val="0084696E"/>
    <w:rsid w:val="00850D53"/>
    <w:rsid w:val="008557B3"/>
    <w:rsid w:val="00856FD6"/>
    <w:rsid w:val="00860DD2"/>
    <w:rsid w:val="0086105D"/>
    <w:rsid w:val="00865BD7"/>
    <w:rsid w:val="00865C45"/>
    <w:rsid w:val="00870A3C"/>
    <w:rsid w:val="00871109"/>
    <w:rsid w:val="00874CE5"/>
    <w:rsid w:val="008835F7"/>
    <w:rsid w:val="008848A3"/>
    <w:rsid w:val="0088688A"/>
    <w:rsid w:val="0089062F"/>
    <w:rsid w:val="00891B33"/>
    <w:rsid w:val="008974C1"/>
    <w:rsid w:val="00897D5E"/>
    <w:rsid w:val="008A5011"/>
    <w:rsid w:val="008A523D"/>
    <w:rsid w:val="008A7630"/>
    <w:rsid w:val="008A7888"/>
    <w:rsid w:val="008C1618"/>
    <w:rsid w:val="008C205B"/>
    <w:rsid w:val="008C295F"/>
    <w:rsid w:val="008C534F"/>
    <w:rsid w:val="008D1877"/>
    <w:rsid w:val="008D248B"/>
    <w:rsid w:val="008D2BA8"/>
    <w:rsid w:val="008D321E"/>
    <w:rsid w:val="008D485E"/>
    <w:rsid w:val="008D6395"/>
    <w:rsid w:val="008E46EC"/>
    <w:rsid w:val="008E47FD"/>
    <w:rsid w:val="008E5F36"/>
    <w:rsid w:val="008F0F39"/>
    <w:rsid w:val="008F151E"/>
    <w:rsid w:val="008F438F"/>
    <w:rsid w:val="008F796E"/>
    <w:rsid w:val="00901999"/>
    <w:rsid w:val="00902738"/>
    <w:rsid w:val="00903912"/>
    <w:rsid w:val="0090520A"/>
    <w:rsid w:val="00907279"/>
    <w:rsid w:val="009100F4"/>
    <w:rsid w:val="00910FCD"/>
    <w:rsid w:val="00911B1C"/>
    <w:rsid w:val="0091345B"/>
    <w:rsid w:val="00915CCB"/>
    <w:rsid w:val="00920755"/>
    <w:rsid w:val="00921D41"/>
    <w:rsid w:val="00922B9D"/>
    <w:rsid w:val="00924E90"/>
    <w:rsid w:val="00926CAA"/>
    <w:rsid w:val="00927DAD"/>
    <w:rsid w:val="00931059"/>
    <w:rsid w:val="00931527"/>
    <w:rsid w:val="009420EE"/>
    <w:rsid w:val="00947E2B"/>
    <w:rsid w:val="00953D6D"/>
    <w:rsid w:val="00954262"/>
    <w:rsid w:val="009546D4"/>
    <w:rsid w:val="00954DCF"/>
    <w:rsid w:val="00960F4B"/>
    <w:rsid w:val="00961514"/>
    <w:rsid w:val="009616A7"/>
    <w:rsid w:val="00962B4A"/>
    <w:rsid w:val="009649D8"/>
    <w:rsid w:val="0096576F"/>
    <w:rsid w:val="00966101"/>
    <w:rsid w:val="00970709"/>
    <w:rsid w:val="00970A2A"/>
    <w:rsid w:val="00971217"/>
    <w:rsid w:val="00971D3D"/>
    <w:rsid w:val="0097771E"/>
    <w:rsid w:val="00980D2A"/>
    <w:rsid w:val="00983128"/>
    <w:rsid w:val="0098603A"/>
    <w:rsid w:val="009868CC"/>
    <w:rsid w:val="00993FC4"/>
    <w:rsid w:val="00994EBC"/>
    <w:rsid w:val="009965C1"/>
    <w:rsid w:val="009968F5"/>
    <w:rsid w:val="009979CD"/>
    <w:rsid w:val="009A4D2A"/>
    <w:rsid w:val="009B14AF"/>
    <w:rsid w:val="009B14F1"/>
    <w:rsid w:val="009B2A81"/>
    <w:rsid w:val="009C1D73"/>
    <w:rsid w:val="009C24BD"/>
    <w:rsid w:val="009C3578"/>
    <w:rsid w:val="009C3DFD"/>
    <w:rsid w:val="009C4D0A"/>
    <w:rsid w:val="009C6A7F"/>
    <w:rsid w:val="009D1907"/>
    <w:rsid w:val="009D795A"/>
    <w:rsid w:val="009E0A74"/>
    <w:rsid w:val="009E1748"/>
    <w:rsid w:val="009E1FB0"/>
    <w:rsid w:val="009F304C"/>
    <w:rsid w:val="009F35C3"/>
    <w:rsid w:val="00A00FD7"/>
    <w:rsid w:val="00A02DB4"/>
    <w:rsid w:val="00A07882"/>
    <w:rsid w:val="00A11078"/>
    <w:rsid w:val="00A12896"/>
    <w:rsid w:val="00A13B33"/>
    <w:rsid w:val="00A16B0A"/>
    <w:rsid w:val="00A204D1"/>
    <w:rsid w:val="00A252CA"/>
    <w:rsid w:val="00A25FB4"/>
    <w:rsid w:val="00A36848"/>
    <w:rsid w:val="00A37AE4"/>
    <w:rsid w:val="00A400A1"/>
    <w:rsid w:val="00A4126C"/>
    <w:rsid w:val="00A44796"/>
    <w:rsid w:val="00A55EA6"/>
    <w:rsid w:val="00A56316"/>
    <w:rsid w:val="00A5668A"/>
    <w:rsid w:val="00A56D35"/>
    <w:rsid w:val="00A64185"/>
    <w:rsid w:val="00A641EF"/>
    <w:rsid w:val="00A643F5"/>
    <w:rsid w:val="00A64B10"/>
    <w:rsid w:val="00A65141"/>
    <w:rsid w:val="00A6679C"/>
    <w:rsid w:val="00A77270"/>
    <w:rsid w:val="00A84F1D"/>
    <w:rsid w:val="00A91CBF"/>
    <w:rsid w:val="00A92861"/>
    <w:rsid w:val="00A9582C"/>
    <w:rsid w:val="00AA5343"/>
    <w:rsid w:val="00AA5A9D"/>
    <w:rsid w:val="00AB4976"/>
    <w:rsid w:val="00AB726E"/>
    <w:rsid w:val="00AC1811"/>
    <w:rsid w:val="00AC25DD"/>
    <w:rsid w:val="00AC6DA4"/>
    <w:rsid w:val="00AC7D70"/>
    <w:rsid w:val="00AD102E"/>
    <w:rsid w:val="00AD233F"/>
    <w:rsid w:val="00AD47D3"/>
    <w:rsid w:val="00AD49C0"/>
    <w:rsid w:val="00AD6443"/>
    <w:rsid w:val="00AE10E6"/>
    <w:rsid w:val="00AE236B"/>
    <w:rsid w:val="00AF2D21"/>
    <w:rsid w:val="00AF2E4A"/>
    <w:rsid w:val="00AF3C3D"/>
    <w:rsid w:val="00AF412C"/>
    <w:rsid w:val="00AF6D2F"/>
    <w:rsid w:val="00B02276"/>
    <w:rsid w:val="00B02757"/>
    <w:rsid w:val="00B0559F"/>
    <w:rsid w:val="00B0679F"/>
    <w:rsid w:val="00B15900"/>
    <w:rsid w:val="00B164D7"/>
    <w:rsid w:val="00B16D99"/>
    <w:rsid w:val="00B21F15"/>
    <w:rsid w:val="00B22B25"/>
    <w:rsid w:val="00B232E6"/>
    <w:rsid w:val="00B24F8E"/>
    <w:rsid w:val="00B32131"/>
    <w:rsid w:val="00B354FA"/>
    <w:rsid w:val="00B35DCB"/>
    <w:rsid w:val="00B376A6"/>
    <w:rsid w:val="00B4115F"/>
    <w:rsid w:val="00B42DB3"/>
    <w:rsid w:val="00B54A33"/>
    <w:rsid w:val="00B55528"/>
    <w:rsid w:val="00B56E47"/>
    <w:rsid w:val="00B61240"/>
    <w:rsid w:val="00B656F9"/>
    <w:rsid w:val="00B71E64"/>
    <w:rsid w:val="00B76498"/>
    <w:rsid w:val="00B81313"/>
    <w:rsid w:val="00B83296"/>
    <w:rsid w:val="00B90035"/>
    <w:rsid w:val="00B92A4E"/>
    <w:rsid w:val="00B9386E"/>
    <w:rsid w:val="00B967DD"/>
    <w:rsid w:val="00B96CE5"/>
    <w:rsid w:val="00B9724C"/>
    <w:rsid w:val="00B97446"/>
    <w:rsid w:val="00B97E98"/>
    <w:rsid w:val="00BA3A74"/>
    <w:rsid w:val="00BA6E30"/>
    <w:rsid w:val="00BB2971"/>
    <w:rsid w:val="00BB3156"/>
    <w:rsid w:val="00BB3788"/>
    <w:rsid w:val="00BB456E"/>
    <w:rsid w:val="00BB4846"/>
    <w:rsid w:val="00BC4447"/>
    <w:rsid w:val="00BC565C"/>
    <w:rsid w:val="00BC5A11"/>
    <w:rsid w:val="00BC73B8"/>
    <w:rsid w:val="00BD061D"/>
    <w:rsid w:val="00BD185E"/>
    <w:rsid w:val="00BE06AF"/>
    <w:rsid w:val="00BE22FA"/>
    <w:rsid w:val="00BE4009"/>
    <w:rsid w:val="00BE4544"/>
    <w:rsid w:val="00BF1971"/>
    <w:rsid w:val="00BF6070"/>
    <w:rsid w:val="00BF76AC"/>
    <w:rsid w:val="00C11358"/>
    <w:rsid w:val="00C12F67"/>
    <w:rsid w:val="00C13D31"/>
    <w:rsid w:val="00C17A72"/>
    <w:rsid w:val="00C17F33"/>
    <w:rsid w:val="00C21BE4"/>
    <w:rsid w:val="00C2597E"/>
    <w:rsid w:val="00C26B79"/>
    <w:rsid w:val="00C30E66"/>
    <w:rsid w:val="00C35407"/>
    <w:rsid w:val="00C41C25"/>
    <w:rsid w:val="00C42EE6"/>
    <w:rsid w:val="00C43C95"/>
    <w:rsid w:val="00C443FC"/>
    <w:rsid w:val="00C46475"/>
    <w:rsid w:val="00C470A3"/>
    <w:rsid w:val="00C54D08"/>
    <w:rsid w:val="00C54FAE"/>
    <w:rsid w:val="00C55180"/>
    <w:rsid w:val="00C60671"/>
    <w:rsid w:val="00C62059"/>
    <w:rsid w:val="00C62F90"/>
    <w:rsid w:val="00C66603"/>
    <w:rsid w:val="00C66FBF"/>
    <w:rsid w:val="00C70E15"/>
    <w:rsid w:val="00C72B6C"/>
    <w:rsid w:val="00C7308C"/>
    <w:rsid w:val="00C75B80"/>
    <w:rsid w:val="00C8014F"/>
    <w:rsid w:val="00C81973"/>
    <w:rsid w:val="00C826F0"/>
    <w:rsid w:val="00C8537F"/>
    <w:rsid w:val="00C87120"/>
    <w:rsid w:val="00C87CA7"/>
    <w:rsid w:val="00C918D3"/>
    <w:rsid w:val="00CA2196"/>
    <w:rsid w:val="00CA49D7"/>
    <w:rsid w:val="00CA66E0"/>
    <w:rsid w:val="00CA72AB"/>
    <w:rsid w:val="00CB219D"/>
    <w:rsid w:val="00CB60A9"/>
    <w:rsid w:val="00CC2D6F"/>
    <w:rsid w:val="00CC33D0"/>
    <w:rsid w:val="00CC4CBB"/>
    <w:rsid w:val="00CD2DF6"/>
    <w:rsid w:val="00CD4D13"/>
    <w:rsid w:val="00CD7681"/>
    <w:rsid w:val="00CE2E8E"/>
    <w:rsid w:val="00CE3338"/>
    <w:rsid w:val="00CE4519"/>
    <w:rsid w:val="00CE4FE4"/>
    <w:rsid w:val="00CE567B"/>
    <w:rsid w:val="00CF3CCA"/>
    <w:rsid w:val="00D014DE"/>
    <w:rsid w:val="00D0180B"/>
    <w:rsid w:val="00D01AF7"/>
    <w:rsid w:val="00D029E5"/>
    <w:rsid w:val="00D05B11"/>
    <w:rsid w:val="00D2058E"/>
    <w:rsid w:val="00D20F94"/>
    <w:rsid w:val="00D227A5"/>
    <w:rsid w:val="00D24DD5"/>
    <w:rsid w:val="00D24ECC"/>
    <w:rsid w:val="00D342C2"/>
    <w:rsid w:val="00D3488F"/>
    <w:rsid w:val="00D35F9B"/>
    <w:rsid w:val="00D3768D"/>
    <w:rsid w:val="00D439E0"/>
    <w:rsid w:val="00D44493"/>
    <w:rsid w:val="00D45D51"/>
    <w:rsid w:val="00D45E92"/>
    <w:rsid w:val="00D460D8"/>
    <w:rsid w:val="00D4735D"/>
    <w:rsid w:val="00D5073C"/>
    <w:rsid w:val="00D542C0"/>
    <w:rsid w:val="00D621B3"/>
    <w:rsid w:val="00D63B2F"/>
    <w:rsid w:val="00D703F2"/>
    <w:rsid w:val="00D722A2"/>
    <w:rsid w:val="00D740B5"/>
    <w:rsid w:val="00D807D2"/>
    <w:rsid w:val="00D82B43"/>
    <w:rsid w:val="00D8517F"/>
    <w:rsid w:val="00D86FED"/>
    <w:rsid w:val="00D87585"/>
    <w:rsid w:val="00D90082"/>
    <w:rsid w:val="00D91A96"/>
    <w:rsid w:val="00D93AF7"/>
    <w:rsid w:val="00D94855"/>
    <w:rsid w:val="00DA0DAD"/>
    <w:rsid w:val="00DA205A"/>
    <w:rsid w:val="00DA312A"/>
    <w:rsid w:val="00DA5C78"/>
    <w:rsid w:val="00DA72EB"/>
    <w:rsid w:val="00DB4574"/>
    <w:rsid w:val="00DC317D"/>
    <w:rsid w:val="00DC5EC2"/>
    <w:rsid w:val="00DC6F8B"/>
    <w:rsid w:val="00DE5089"/>
    <w:rsid w:val="00DE6541"/>
    <w:rsid w:val="00DF0F37"/>
    <w:rsid w:val="00E00271"/>
    <w:rsid w:val="00E0243F"/>
    <w:rsid w:val="00E043BB"/>
    <w:rsid w:val="00E076BA"/>
    <w:rsid w:val="00E11C68"/>
    <w:rsid w:val="00E15F18"/>
    <w:rsid w:val="00E169BD"/>
    <w:rsid w:val="00E24798"/>
    <w:rsid w:val="00E376A7"/>
    <w:rsid w:val="00E41DE1"/>
    <w:rsid w:val="00E43D99"/>
    <w:rsid w:val="00E4402E"/>
    <w:rsid w:val="00E44405"/>
    <w:rsid w:val="00E44712"/>
    <w:rsid w:val="00E456CB"/>
    <w:rsid w:val="00E47D92"/>
    <w:rsid w:val="00E51F4D"/>
    <w:rsid w:val="00E52378"/>
    <w:rsid w:val="00E531EE"/>
    <w:rsid w:val="00E563D7"/>
    <w:rsid w:val="00E6073F"/>
    <w:rsid w:val="00E621CF"/>
    <w:rsid w:val="00E64CDB"/>
    <w:rsid w:val="00E66077"/>
    <w:rsid w:val="00E7275D"/>
    <w:rsid w:val="00E72D51"/>
    <w:rsid w:val="00E738DD"/>
    <w:rsid w:val="00E74A37"/>
    <w:rsid w:val="00E76FB4"/>
    <w:rsid w:val="00E772D4"/>
    <w:rsid w:val="00E77783"/>
    <w:rsid w:val="00E83CF6"/>
    <w:rsid w:val="00E846AF"/>
    <w:rsid w:val="00E84D0F"/>
    <w:rsid w:val="00E9293C"/>
    <w:rsid w:val="00E93494"/>
    <w:rsid w:val="00E96A95"/>
    <w:rsid w:val="00EA0F56"/>
    <w:rsid w:val="00EA35E3"/>
    <w:rsid w:val="00EA42DB"/>
    <w:rsid w:val="00EA4471"/>
    <w:rsid w:val="00EA6F92"/>
    <w:rsid w:val="00EA7FEF"/>
    <w:rsid w:val="00EB48E4"/>
    <w:rsid w:val="00EB638E"/>
    <w:rsid w:val="00ED024C"/>
    <w:rsid w:val="00ED0579"/>
    <w:rsid w:val="00ED071F"/>
    <w:rsid w:val="00ED15F3"/>
    <w:rsid w:val="00ED3D73"/>
    <w:rsid w:val="00ED46A4"/>
    <w:rsid w:val="00ED69C0"/>
    <w:rsid w:val="00ED758D"/>
    <w:rsid w:val="00EE0114"/>
    <w:rsid w:val="00EE25E5"/>
    <w:rsid w:val="00EE5550"/>
    <w:rsid w:val="00EF0FD3"/>
    <w:rsid w:val="00EF1D41"/>
    <w:rsid w:val="00EF6064"/>
    <w:rsid w:val="00EF672D"/>
    <w:rsid w:val="00F043B8"/>
    <w:rsid w:val="00F052C4"/>
    <w:rsid w:val="00F11F60"/>
    <w:rsid w:val="00F1456F"/>
    <w:rsid w:val="00F14EDB"/>
    <w:rsid w:val="00F16200"/>
    <w:rsid w:val="00F2373D"/>
    <w:rsid w:val="00F24D6B"/>
    <w:rsid w:val="00F34074"/>
    <w:rsid w:val="00F3560B"/>
    <w:rsid w:val="00F3621F"/>
    <w:rsid w:val="00F37CA5"/>
    <w:rsid w:val="00F42E91"/>
    <w:rsid w:val="00F51A62"/>
    <w:rsid w:val="00F53CA5"/>
    <w:rsid w:val="00F57F8B"/>
    <w:rsid w:val="00F62C0B"/>
    <w:rsid w:val="00F64506"/>
    <w:rsid w:val="00F649EA"/>
    <w:rsid w:val="00F66981"/>
    <w:rsid w:val="00F71ADD"/>
    <w:rsid w:val="00F72C73"/>
    <w:rsid w:val="00F72E10"/>
    <w:rsid w:val="00F82009"/>
    <w:rsid w:val="00F84267"/>
    <w:rsid w:val="00F848B8"/>
    <w:rsid w:val="00F862C6"/>
    <w:rsid w:val="00F91897"/>
    <w:rsid w:val="00F92492"/>
    <w:rsid w:val="00F93740"/>
    <w:rsid w:val="00F94F10"/>
    <w:rsid w:val="00FA3525"/>
    <w:rsid w:val="00FA3D89"/>
    <w:rsid w:val="00FB3C63"/>
    <w:rsid w:val="00FB496F"/>
    <w:rsid w:val="00FB584A"/>
    <w:rsid w:val="00FB7DBA"/>
    <w:rsid w:val="00FB7F34"/>
    <w:rsid w:val="00FC143D"/>
    <w:rsid w:val="00FD1CFF"/>
    <w:rsid w:val="00FE0BAD"/>
    <w:rsid w:val="00FE3009"/>
    <w:rsid w:val="00FE304A"/>
    <w:rsid w:val="00FE4A32"/>
    <w:rsid w:val="00FE59F7"/>
    <w:rsid w:val="00FE72BA"/>
    <w:rsid w:val="00FF74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208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32"/>
        <w:lang w:val="sk-SK" w:eastAsia="en-US" w:bidi="ar-SA"/>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806626"/>
  </w:style>
  <w:style w:type="paragraph" w:styleId="Nadpis1">
    <w:name w:val="heading 1"/>
    <w:basedOn w:val="Normlny"/>
    <w:next w:val="Normlny"/>
    <w:link w:val="Nadpis1Char"/>
    <w:uiPriority w:val="9"/>
    <w:qFormat/>
    <w:rsid w:val="00971217"/>
    <w:pPr>
      <w:pBdr>
        <w:bottom w:val="single" w:sz="12" w:space="1" w:color="39574A" w:themeColor="accent1" w:themeShade="BF"/>
      </w:pBdr>
      <w:spacing w:before="600" w:after="80"/>
      <w:ind w:firstLine="0"/>
      <w:outlineLvl w:val="0"/>
    </w:pPr>
    <w:rPr>
      <w:rFonts w:asciiTheme="majorHAnsi" w:eastAsiaTheme="majorEastAsia" w:hAnsiTheme="majorHAnsi" w:cstheme="majorBidi"/>
      <w:b/>
      <w:bCs/>
      <w:color w:val="4C7563"/>
      <w:sz w:val="24"/>
      <w:szCs w:val="24"/>
    </w:rPr>
  </w:style>
  <w:style w:type="paragraph" w:styleId="Nadpis2">
    <w:name w:val="heading 2"/>
    <w:aliases w:val="Ods."/>
    <w:basedOn w:val="Normlny"/>
    <w:next w:val="Normlny"/>
    <w:link w:val="Nadpis2Char"/>
    <w:uiPriority w:val="9"/>
    <w:unhideWhenUsed/>
    <w:qFormat/>
    <w:rsid w:val="00ED758D"/>
    <w:pPr>
      <w:pBdr>
        <w:bottom w:val="single" w:sz="8" w:space="1" w:color="4C7563" w:themeColor="accent1"/>
      </w:pBdr>
      <w:spacing w:before="200" w:after="80"/>
      <w:ind w:firstLine="0"/>
      <w:jc w:val="right"/>
      <w:outlineLvl w:val="1"/>
    </w:pPr>
    <w:rPr>
      <w:rFonts w:eastAsiaTheme="majorEastAsia" w:cstheme="majorBidi"/>
      <w:color w:val="39574A" w:themeColor="accent1" w:themeShade="BF"/>
      <w:szCs w:val="24"/>
    </w:rPr>
  </w:style>
  <w:style w:type="paragraph" w:styleId="Nadpis3">
    <w:name w:val="heading 3"/>
    <w:aliases w:val="Článok I.,Úvodné ustanovenia"/>
    <w:basedOn w:val="Normlny"/>
    <w:next w:val="Normlny"/>
    <w:link w:val="Nadpis3Char"/>
    <w:uiPriority w:val="9"/>
    <w:unhideWhenUsed/>
    <w:qFormat/>
    <w:rsid w:val="00806626"/>
    <w:pPr>
      <w:pBdr>
        <w:bottom w:val="single" w:sz="4" w:space="1" w:color="8BB4A2" w:themeColor="accent1" w:themeTint="99"/>
      </w:pBdr>
      <w:spacing w:before="200" w:after="80"/>
      <w:ind w:firstLine="0"/>
      <w:outlineLvl w:val="2"/>
    </w:pPr>
    <w:rPr>
      <w:rFonts w:asciiTheme="majorHAnsi" w:eastAsiaTheme="majorEastAsia" w:hAnsiTheme="majorHAnsi" w:cstheme="majorBidi"/>
      <w:color w:val="4C7563" w:themeColor="accent1"/>
      <w:sz w:val="24"/>
      <w:szCs w:val="24"/>
    </w:rPr>
  </w:style>
  <w:style w:type="paragraph" w:styleId="Nadpis4">
    <w:name w:val="heading 4"/>
    <w:basedOn w:val="Normlny"/>
    <w:next w:val="Normlny"/>
    <w:link w:val="Nadpis4Char"/>
    <w:uiPriority w:val="9"/>
    <w:unhideWhenUsed/>
    <w:qFormat/>
    <w:rsid w:val="00806626"/>
    <w:pPr>
      <w:pBdr>
        <w:bottom w:val="single" w:sz="4" w:space="2" w:color="B2CDC1" w:themeColor="accent1" w:themeTint="66"/>
      </w:pBdr>
      <w:spacing w:before="200" w:after="80"/>
      <w:ind w:firstLine="0"/>
      <w:outlineLvl w:val="3"/>
    </w:pPr>
    <w:rPr>
      <w:rFonts w:asciiTheme="majorHAnsi" w:eastAsiaTheme="majorEastAsia" w:hAnsiTheme="majorHAnsi" w:cstheme="majorBidi"/>
      <w:i/>
      <w:iCs/>
      <w:color w:val="4C7563" w:themeColor="accent1"/>
      <w:sz w:val="24"/>
      <w:szCs w:val="24"/>
    </w:rPr>
  </w:style>
  <w:style w:type="paragraph" w:styleId="Nadpis5">
    <w:name w:val="heading 5"/>
    <w:aliases w:val="Písm."/>
    <w:basedOn w:val="Normlny"/>
    <w:next w:val="Normlny"/>
    <w:link w:val="Nadpis5Char"/>
    <w:uiPriority w:val="9"/>
    <w:unhideWhenUsed/>
    <w:qFormat/>
    <w:rsid w:val="00CE3338"/>
    <w:pPr>
      <w:spacing w:before="200" w:after="80"/>
      <w:ind w:firstLine="0"/>
      <w:jc w:val="right"/>
      <w:outlineLvl w:val="4"/>
    </w:pPr>
    <w:rPr>
      <w:rFonts w:asciiTheme="majorHAnsi" w:eastAsiaTheme="majorEastAsia" w:hAnsiTheme="majorHAnsi" w:cstheme="majorBidi"/>
      <w:color w:val="4C7563" w:themeColor="accent1"/>
    </w:rPr>
  </w:style>
  <w:style w:type="paragraph" w:styleId="Nadpis6">
    <w:name w:val="heading 6"/>
    <w:basedOn w:val="Normlny"/>
    <w:next w:val="Normlny"/>
    <w:link w:val="Nadpis6Char"/>
    <w:uiPriority w:val="9"/>
    <w:unhideWhenUsed/>
    <w:qFormat/>
    <w:rsid w:val="00806626"/>
    <w:pPr>
      <w:spacing w:before="280" w:after="100"/>
      <w:ind w:firstLine="0"/>
      <w:outlineLvl w:val="5"/>
    </w:pPr>
    <w:rPr>
      <w:rFonts w:asciiTheme="majorHAnsi" w:eastAsiaTheme="majorEastAsia" w:hAnsiTheme="majorHAnsi" w:cstheme="majorBidi"/>
      <w:i/>
      <w:iCs/>
      <w:color w:val="4C7563" w:themeColor="accent1"/>
    </w:rPr>
  </w:style>
  <w:style w:type="paragraph" w:styleId="Nadpis7">
    <w:name w:val="heading 7"/>
    <w:basedOn w:val="Normlny"/>
    <w:next w:val="Normlny"/>
    <w:link w:val="Nadpis7Char"/>
    <w:uiPriority w:val="9"/>
    <w:unhideWhenUsed/>
    <w:qFormat/>
    <w:rsid w:val="00806626"/>
    <w:pPr>
      <w:spacing w:before="320" w:after="100"/>
      <w:ind w:firstLine="0"/>
      <w:outlineLvl w:val="6"/>
    </w:pPr>
    <w:rPr>
      <w:rFonts w:asciiTheme="majorHAnsi" w:eastAsiaTheme="majorEastAsia" w:hAnsiTheme="majorHAnsi" w:cstheme="majorBidi"/>
      <w:b/>
      <w:bCs/>
      <w:color w:val="B5AE53" w:themeColor="accent3"/>
      <w:sz w:val="20"/>
      <w:szCs w:val="20"/>
    </w:rPr>
  </w:style>
  <w:style w:type="paragraph" w:styleId="Nadpis8">
    <w:name w:val="heading 8"/>
    <w:basedOn w:val="Normlny"/>
    <w:next w:val="Normlny"/>
    <w:link w:val="Nadpis8Char"/>
    <w:uiPriority w:val="9"/>
    <w:semiHidden/>
    <w:unhideWhenUsed/>
    <w:qFormat/>
    <w:rsid w:val="00806626"/>
    <w:pPr>
      <w:spacing w:before="320" w:after="100"/>
      <w:ind w:firstLine="0"/>
      <w:outlineLvl w:val="7"/>
    </w:pPr>
    <w:rPr>
      <w:rFonts w:asciiTheme="majorHAnsi" w:eastAsiaTheme="majorEastAsia" w:hAnsiTheme="majorHAnsi" w:cstheme="majorBidi"/>
      <w:b/>
      <w:bCs/>
      <w:i/>
      <w:iCs/>
      <w:color w:val="B5AE53" w:themeColor="accent3"/>
      <w:sz w:val="20"/>
      <w:szCs w:val="20"/>
    </w:rPr>
  </w:style>
  <w:style w:type="paragraph" w:styleId="Nadpis9">
    <w:name w:val="heading 9"/>
    <w:basedOn w:val="Normlny"/>
    <w:next w:val="Normlny"/>
    <w:link w:val="Nadpis9Char"/>
    <w:uiPriority w:val="9"/>
    <w:semiHidden/>
    <w:unhideWhenUsed/>
    <w:qFormat/>
    <w:rsid w:val="00806626"/>
    <w:pPr>
      <w:spacing w:before="320" w:after="100"/>
      <w:ind w:firstLine="0"/>
      <w:outlineLvl w:val="8"/>
    </w:pPr>
    <w:rPr>
      <w:rFonts w:asciiTheme="majorHAnsi" w:eastAsiaTheme="majorEastAsia" w:hAnsiTheme="majorHAnsi" w:cstheme="majorBidi"/>
      <w:i/>
      <w:iCs/>
      <w:color w:val="B5AE53" w:themeColor="accent3"/>
      <w:sz w:val="20"/>
      <w:szCs w:val="2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bsah1">
    <w:name w:val="toc 1"/>
    <w:basedOn w:val="Normlny"/>
    <w:next w:val="Normlny"/>
    <w:autoRedefine/>
    <w:uiPriority w:val="39"/>
    <w:unhideWhenUsed/>
    <w:qFormat/>
    <w:rsid w:val="007F2B3F"/>
    <w:pPr>
      <w:tabs>
        <w:tab w:val="right" w:pos="9062"/>
      </w:tabs>
      <w:jc w:val="center"/>
    </w:pPr>
    <w:rPr>
      <w:b/>
      <w:bCs/>
      <w:caps/>
      <w:szCs w:val="24"/>
    </w:rPr>
  </w:style>
  <w:style w:type="table" w:styleId="Mriekatabuky">
    <w:name w:val="Table Grid"/>
    <w:basedOn w:val="Normlnatabuka"/>
    <w:uiPriority w:val="59"/>
    <w:rsid w:val="00D473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D4735D"/>
    <w:rPr>
      <w:rFonts w:ascii="Tahoma" w:hAnsi="Tahoma" w:cs="Tahoma"/>
      <w:sz w:val="16"/>
      <w:szCs w:val="16"/>
    </w:rPr>
  </w:style>
  <w:style w:type="character" w:customStyle="1" w:styleId="TextbublinyChar">
    <w:name w:val="Text bubliny Char"/>
    <w:basedOn w:val="Predvolenpsmoodseku"/>
    <w:link w:val="Textbubliny"/>
    <w:uiPriority w:val="99"/>
    <w:semiHidden/>
    <w:rsid w:val="00D4735D"/>
    <w:rPr>
      <w:rFonts w:ascii="Tahoma" w:eastAsia="Times New Roman" w:hAnsi="Tahoma" w:cs="Tahoma"/>
      <w:sz w:val="16"/>
      <w:szCs w:val="16"/>
    </w:rPr>
  </w:style>
  <w:style w:type="paragraph" w:styleId="Hlavika">
    <w:name w:val="header"/>
    <w:basedOn w:val="Normlny"/>
    <w:link w:val="HlavikaChar"/>
    <w:uiPriority w:val="99"/>
    <w:unhideWhenUsed/>
    <w:rsid w:val="00540D75"/>
    <w:pPr>
      <w:tabs>
        <w:tab w:val="center" w:pos="4536"/>
        <w:tab w:val="right" w:pos="9072"/>
      </w:tabs>
    </w:pPr>
  </w:style>
  <w:style w:type="character" w:customStyle="1" w:styleId="HlavikaChar">
    <w:name w:val="Hlavička Char"/>
    <w:basedOn w:val="Predvolenpsmoodseku"/>
    <w:link w:val="Hlavika"/>
    <w:uiPriority w:val="99"/>
    <w:rsid w:val="00540D75"/>
    <w:rPr>
      <w:rFonts w:ascii="Times New Roman" w:eastAsia="Times New Roman" w:hAnsi="Times New Roman" w:cs="Times New Roman"/>
      <w:sz w:val="24"/>
      <w:szCs w:val="20"/>
    </w:rPr>
  </w:style>
  <w:style w:type="paragraph" w:styleId="Pta">
    <w:name w:val="footer"/>
    <w:basedOn w:val="Normlny"/>
    <w:link w:val="PtaChar"/>
    <w:uiPriority w:val="99"/>
    <w:unhideWhenUsed/>
    <w:rsid w:val="00540D75"/>
    <w:pPr>
      <w:tabs>
        <w:tab w:val="center" w:pos="4536"/>
        <w:tab w:val="right" w:pos="9072"/>
      </w:tabs>
    </w:pPr>
  </w:style>
  <w:style w:type="character" w:customStyle="1" w:styleId="PtaChar">
    <w:name w:val="Päta Char"/>
    <w:basedOn w:val="Predvolenpsmoodseku"/>
    <w:link w:val="Pta"/>
    <w:uiPriority w:val="99"/>
    <w:rsid w:val="00540D75"/>
    <w:rPr>
      <w:rFonts w:ascii="Times New Roman" w:eastAsia="Times New Roman" w:hAnsi="Times New Roman" w:cs="Times New Roman"/>
      <w:sz w:val="24"/>
      <w:szCs w:val="20"/>
    </w:rPr>
  </w:style>
  <w:style w:type="paragraph" w:styleId="Zkladntext">
    <w:name w:val="Body Text"/>
    <w:basedOn w:val="Normlny"/>
    <w:link w:val="ZkladntextChar"/>
    <w:unhideWhenUsed/>
    <w:rsid w:val="00D3488F"/>
    <w:pPr>
      <w:widowControl w:val="0"/>
      <w:tabs>
        <w:tab w:val="left" w:pos="9"/>
        <w:tab w:val="left" w:pos="428"/>
        <w:tab w:val="right" w:pos="8953"/>
      </w:tabs>
      <w:snapToGrid w:val="0"/>
    </w:pPr>
    <w:rPr>
      <w:lang w:eastAsia="cs-CZ"/>
    </w:rPr>
  </w:style>
  <w:style w:type="character" w:customStyle="1" w:styleId="ZkladntextChar">
    <w:name w:val="Základný text Char"/>
    <w:basedOn w:val="Predvolenpsmoodseku"/>
    <w:link w:val="Zkladntext"/>
    <w:rsid w:val="00D3488F"/>
    <w:rPr>
      <w:rFonts w:ascii="Times New Roman" w:eastAsia="Times New Roman" w:hAnsi="Times New Roman" w:cs="Times New Roman"/>
      <w:sz w:val="24"/>
      <w:szCs w:val="20"/>
      <w:lang w:eastAsia="cs-CZ"/>
    </w:rPr>
  </w:style>
  <w:style w:type="character" w:customStyle="1" w:styleId="Nadpis1Char">
    <w:name w:val="Nadpis 1 Char"/>
    <w:basedOn w:val="Predvolenpsmoodseku"/>
    <w:link w:val="Nadpis1"/>
    <w:uiPriority w:val="9"/>
    <w:rsid w:val="00971217"/>
    <w:rPr>
      <w:rFonts w:asciiTheme="majorHAnsi" w:eastAsiaTheme="majorEastAsia" w:hAnsiTheme="majorHAnsi" w:cstheme="majorBidi"/>
      <w:b/>
      <w:bCs/>
      <w:color w:val="4C7563"/>
      <w:sz w:val="24"/>
      <w:szCs w:val="24"/>
    </w:rPr>
  </w:style>
  <w:style w:type="paragraph" w:styleId="Hlavikaobsahu">
    <w:name w:val="TOC Heading"/>
    <w:basedOn w:val="Nadpis1"/>
    <w:next w:val="Normlny"/>
    <w:uiPriority w:val="39"/>
    <w:semiHidden/>
    <w:unhideWhenUsed/>
    <w:qFormat/>
    <w:rsid w:val="00806626"/>
    <w:pPr>
      <w:outlineLvl w:val="9"/>
    </w:pPr>
    <w:rPr>
      <w:lang w:bidi="en-US"/>
    </w:rPr>
  </w:style>
  <w:style w:type="paragraph" w:styleId="Obsah2">
    <w:name w:val="toc 2"/>
    <w:basedOn w:val="Normlny"/>
    <w:next w:val="Normlny"/>
    <w:autoRedefine/>
    <w:uiPriority w:val="39"/>
    <w:unhideWhenUsed/>
    <w:rsid w:val="00DB4574"/>
    <w:pPr>
      <w:spacing w:before="240"/>
    </w:pPr>
    <w:rPr>
      <w:b/>
      <w:bCs/>
      <w:sz w:val="20"/>
    </w:rPr>
  </w:style>
  <w:style w:type="paragraph" w:styleId="Obsah3">
    <w:name w:val="toc 3"/>
    <w:basedOn w:val="Normlny"/>
    <w:next w:val="Normlny"/>
    <w:autoRedefine/>
    <w:uiPriority w:val="39"/>
    <w:unhideWhenUsed/>
    <w:rsid w:val="00DB4574"/>
    <w:pPr>
      <w:ind w:left="240"/>
    </w:pPr>
    <w:rPr>
      <w:sz w:val="20"/>
    </w:rPr>
  </w:style>
  <w:style w:type="paragraph" w:styleId="Obsah4">
    <w:name w:val="toc 4"/>
    <w:basedOn w:val="Normlny"/>
    <w:next w:val="Normlny"/>
    <w:autoRedefine/>
    <w:uiPriority w:val="39"/>
    <w:unhideWhenUsed/>
    <w:rsid w:val="00DB4574"/>
    <w:pPr>
      <w:ind w:left="480"/>
    </w:pPr>
    <w:rPr>
      <w:sz w:val="20"/>
    </w:rPr>
  </w:style>
  <w:style w:type="paragraph" w:styleId="Obsah5">
    <w:name w:val="toc 5"/>
    <w:basedOn w:val="Normlny"/>
    <w:next w:val="Normlny"/>
    <w:autoRedefine/>
    <w:uiPriority w:val="39"/>
    <w:unhideWhenUsed/>
    <w:rsid w:val="00DB4574"/>
    <w:pPr>
      <w:ind w:left="720"/>
    </w:pPr>
    <w:rPr>
      <w:sz w:val="20"/>
    </w:rPr>
  </w:style>
  <w:style w:type="paragraph" w:styleId="Obsah6">
    <w:name w:val="toc 6"/>
    <w:basedOn w:val="Normlny"/>
    <w:next w:val="Normlny"/>
    <w:autoRedefine/>
    <w:uiPriority w:val="39"/>
    <w:unhideWhenUsed/>
    <w:rsid w:val="00DB4574"/>
    <w:pPr>
      <w:ind w:left="960"/>
    </w:pPr>
    <w:rPr>
      <w:sz w:val="20"/>
    </w:rPr>
  </w:style>
  <w:style w:type="paragraph" w:styleId="Obsah7">
    <w:name w:val="toc 7"/>
    <w:basedOn w:val="Normlny"/>
    <w:next w:val="Normlny"/>
    <w:autoRedefine/>
    <w:uiPriority w:val="39"/>
    <w:unhideWhenUsed/>
    <w:rsid w:val="00DB4574"/>
    <w:pPr>
      <w:ind w:left="1200"/>
    </w:pPr>
    <w:rPr>
      <w:sz w:val="20"/>
    </w:rPr>
  </w:style>
  <w:style w:type="paragraph" w:styleId="Obsah8">
    <w:name w:val="toc 8"/>
    <w:basedOn w:val="Normlny"/>
    <w:next w:val="Normlny"/>
    <w:autoRedefine/>
    <w:uiPriority w:val="39"/>
    <w:unhideWhenUsed/>
    <w:rsid w:val="00DB4574"/>
    <w:pPr>
      <w:ind w:left="1440"/>
    </w:pPr>
    <w:rPr>
      <w:sz w:val="20"/>
    </w:rPr>
  </w:style>
  <w:style w:type="paragraph" w:styleId="Obsah9">
    <w:name w:val="toc 9"/>
    <w:basedOn w:val="Normlny"/>
    <w:next w:val="Normlny"/>
    <w:autoRedefine/>
    <w:uiPriority w:val="39"/>
    <w:unhideWhenUsed/>
    <w:rsid w:val="00DB4574"/>
    <w:pPr>
      <w:ind w:left="1680"/>
    </w:pPr>
    <w:rPr>
      <w:sz w:val="20"/>
    </w:rPr>
  </w:style>
  <w:style w:type="character" w:styleId="Hypertextovprepojenie">
    <w:name w:val="Hyperlink"/>
    <w:basedOn w:val="Predvolenpsmoodseku"/>
    <w:uiPriority w:val="99"/>
    <w:unhideWhenUsed/>
    <w:rsid w:val="00DB4574"/>
    <w:rPr>
      <w:color w:val="CCCC00" w:themeColor="hyperlink"/>
      <w:u w:val="single"/>
    </w:rPr>
  </w:style>
  <w:style w:type="character" w:customStyle="1" w:styleId="Nadpis2Char">
    <w:name w:val="Nadpis 2 Char"/>
    <w:aliases w:val="Ods. Char"/>
    <w:basedOn w:val="Predvolenpsmoodseku"/>
    <w:link w:val="Nadpis2"/>
    <w:uiPriority w:val="9"/>
    <w:rsid w:val="00ED758D"/>
    <w:rPr>
      <w:rFonts w:eastAsiaTheme="majorEastAsia" w:cstheme="majorBidi"/>
      <w:color w:val="39574A" w:themeColor="accent1" w:themeShade="BF"/>
      <w:szCs w:val="24"/>
    </w:rPr>
  </w:style>
  <w:style w:type="character" w:customStyle="1" w:styleId="Nadpis3Char">
    <w:name w:val="Nadpis 3 Char"/>
    <w:aliases w:val="Článok I. Char,Úvodné ustanovenia Char"/>
    <w:basedOn w:val="Predvolenpsmoodseku"/>
    <w:link w:val="Nadpis3"/>
    <w:uiPriority w:val="9"/>
    <w:rsid w:val="00806626"/>
    <w:rPr>
      <w:rFonts w:asciiTheme="majorHAnsi" w:eastAsiaTheme="majorEastAsia" w:hAnsiTheme="majorHAnsi" w:cstheme="majorBidi"/>
      <w:color w:val="4C7563" w:themeColor="accent1"/>
      <w:sz w:val="24"/>
      <w:szCs w:val="24"/>
    </w:rPr>
  </w:style>
  <w:style w:type="character" w:customStyle="1" w:styleId="Nadpis5Char">
    <w:name w:val="Nadpis 5 Char"/>
    <w:aliases w:val="Písm. Char"/>
    <w:basedOn w:val="Predvolenpsmoodseku"/>
    <w:link w:val="Nadpis5"/>
    <w:uiPriority w:val="9"/>
    <w:rsid w:val="00CE3338"/>
    <w:rPr>
      <w:rFonts w:asciiTheme="majorHAnsi" w:eastAsiaTheme="majorEastAsia" w:hAnsiTheme="majorHAnsi" w:cstheme="majorBidi"/>
      <w:color w:val="4C7563" w:themeColor="accent1"/>
    </w:rPr>
  </w:style>
  <w:style w:type="character" w:customStyle="1" w:styleId="Nadpis6Char">
    <w:name w:val="Nadpis 6 Char"/>
    <w:basedOn w:val="Predvolenpsmoodseku"/>
    <w:link w:val="Nadpis6"/>
    <w:uiPriority w:val="9"/>
    <w:rsid w:val="00806626"/>
    <w:rPr>
      <w:rFonts w:asciiTheme="majorHAnsi" w:eastAsiaTheme="majorEastAsia" w:hAnsiTheme="majorHAnsi" w:cstheme="majorBidi"/>
      <w:i/>
      <w:iCs/>
      <w:color w:val="4C7563" w:themeColor="accent1"/>
    </w:rPr>
  </w:style>
  <w:style w:type="character" w:customStyle="1" w:styleId="Nadpis7Char">
    <w:name w:val="Nadpis 7 Char"/>
    <w:basedOn w:val="Predvolenpsmoodseku"/>
    <w:link w:val="Nadpis7"/>
    <w:uiPriority w:val="9"/>
    <w:rsid w:val="00806626"/>
    <w:rPr>
      <w:rFonts w:asciiTheme="majorHAnsi" w:eastAsiaTheme="majorEastAsia" w:hAnsiTheme="majorHAnsi" w:cstheme="majorBidi"/>
      <w:b/>
      <w:bCs/>
      <w:color w:val="B5AE53" w:themeColor="accent3"/>
      <w:sz w:val="20"/>
      <w:szCs w:val="20"/>
    </w:rPr>
  </w:style>
  <w:style w:type="paragraph" w:styleId="Textpoznmkypodiarou">
    <w:name w:val="footnote text"/>
    <w:basedOn w:val="Normlny"/>
    <w:link w:val="TextpoznmkypodiarouChar"/>
    <w:unhideWhenUsed/>
    <w:rsid w:val="000A781F"/>
    <w:pPr>
      <w:numPr>
        <w:numId w:val="1"/>
      </w:numPr>
    </w:pPr>
    <w:rPr>
      <w:i/>
      <w:sz w:val="20"/>
    </w:rPr>
  </w:style>
  <w:style w:type="character" w:customStyle="1" w:styleId="TextpoznmkypodiarouChar">
    <w:name w:val="Text poznámky pod čiarou Char"/>
    <w:basedOn w:val="Predvolenpsmoodseku"/>
    <w:link w:val="Textpoznmkypodiarou"/>
    <w:rsid w:val="000A781F"/>
    <w:rPr>
      <w:i/>
      <w:sz w:val="20"/>
    </w:rPr>
  </w:style>
  <w:style w:type="character" w:customStyle="1" w:styleId="Nadpis4Char">
    <w:name w:val="Nadpis 4 Char"/>
    <w:basedOn w:val="Predvolenpsmoodseku"/>
    <w:link w:val="Nadpis4"/>
    <w:uiPriority w:val="9"/>
    <w:rsid w:val="00806626"/>
    <w:rPr>
      <w:rFonts w:asciiTheme="majorHAnsi" w:eastAsiaTheme="majorEastAsia" w:hAnsiTheme="majorHAnsi" w:cstheme="majorBidi"/>
      <w:i/>
      <w:iCs/>
      <w:color w:val="4C7563" w:themeColor="accent1"/>
      <w:sz w:val="24"/>
      <w:szCs w:val="24"/>
    </w:rPr>
  </w:style>
  <w:style w:type="paragraph" w:styleId="Odsekzoznamu">
    <w:name w:val="List Paragraph"/>
    <w:basedOn w:val="Normlny"/>
    <w:uiPriority w:val="34"/>
    <w:qFormat/>
    <w:rsid w:val="00806626"/>
    <w:pPr>
      <w:ind w:left="720"/>
      <w:contextualSpacing/>
    </w:pPr>
  </w:style>
  <w:style w:type="paragraph" w:styleId="Textkomentra">
    <w:name w:val="annotation text"/>
    <w:basedOn w:val="Normlny"/>
    <w:link w:val="TextkomentraChar"/>
    <w:uiPriority w:val="99"/>
    <w:semiHidden/>
    <w:unhideWhenUsed/>
    <w:rsid w:val="00AD233F"/>
    <w:rPr>
      <w:sz w:val="20"/>
    </w:rPr>
  </w:style>
  <w:style w:type="character" w:customStyle="1" w:styleId="TextkomentraChar">
    <w:name w:val="Text komentára Char"/>
    <w:basedOn w:val="Predvolenpsmoodseku"/>
    <w:link w:val="Textkomentra"/>
    <w:uiPriority w:val="99"/>
    <w:semiHidden/>
    <w:rsid w:val="00AD233F"/>
    <w:rPr>
      <w:rFonts w:ascii="Times New Roman" w:eastAsia="Times New Roman" w:hAnsi="Times New Roman" w:cs="Times New Roman"/>
      <w:sz w:val="20"/>
      <w:szCs w:val="20"/>
    </w:rPr>
  </w:style>
  <w:style w:type="character" w:styleId="Odkaznakomentr">
    <w:name w:val="annotation reference"/>
    <w:semiHidden/>
    <w:unhideWhenUsed/>
    <w:rsid w:val="00AD233F"/>
    <w:rPr>
      <w:sz w:val="16"/>
    </w:rPr>
  </w:style>
  <w:style w:type="numbering" w:customStyle="1" w:styleId="tl3">
    <w:name w:val="Štýl3"/>
    <w:uiPriority w:val="99"/>
    <w:rsid w:val="00F94F10"/>
    <w:pPr>
      <w:numPr>
        <w:numId w:val="2"/>
      </w:numPr>
    </w:pPr>
  </w:style>
  <w:style w:type="character" w:styleId="Zvraznenie">
    <w:name w:val="Emphasis"/>
    <w:uiPriority w:val="20"/>
    <w:qFormat/>
    <w:rsid w:val="00806626"/>
    <w:rPr>
      <w:b/>
      <w:bCs/>
      <w:i/>
      <w:iCs/>
      <w:color w:val="5A5A5A" w:themeColor="text1" w:themeTint="A5"/>
    </w:rPr>
  </w:style>
  <w:style w:type="character" w:styleId="Textzstupnhosymbolu">
    <w:name w:val="Placeholder Text"/>
    <w:basedOn w:val="Predvolenpsmoodseku"/>
    <w:uiPriority w:val="99"/>
    <w:semiHidden/>
    <w:rsid w:val="00A12896"/>
    <w:rPr>
      <w:color w:val="808080"/>
    </w:rPr>
  </w:style>
  <w:style w:type="paragraph" w:styleId="Textvysvetlivky">
    <w:name w:val="endnote text"/>
    <w:basedOn w:val="Normlny"/>
    <w:link w:val="TextvysvetlivkyChar"/>
    <w:uiPriority w:val="99"/>
    <w:unhideWhenUsed/>
    <w:rsid w:val="001806D9"/>
    <w:rPr>
      <w:sz w:val="20"/>
    </w:rPr>
  </w:style>
  <w:style w:type="character" w:customStyle="1" w:styleId="TextvysvetlivkyChar">
    <w:name w:val="Text vysvetlivky Char"/>
    <w:basedOn w:val="Predvolenpsmoodseku"/>
    <w:link w:val="Textvysvetlivky"/>
    <w:uiPriority w:val="99"/>
    <w:rsid w:val="001806D9"/>
    <w:rPr>
      <w:rFonts w:ascii="Times New Roman" w:eastAsia="Times New Roman" w:hAnsi="Times New Roman" w:cs="Times New Roman"/>
      <w:sz w:val="20"/>
      <w:szCs w:val="20"/>
    </w:rPr>
  </w:style>
  <w:style w:type="character" w:styleId="Odkaznavysvetlivku">
    <w:name w:val="endnote reference"/>
    <w:basedOn w:val="Predvolenpsmoodseku"/>
    <w:uiPriority w:val="99"/>
    <w:semiHidden/>
    <w:unhideWhenUsed/>
    <w:rsid w:val="001806D9"/>
    <w:rPr>
      <w:vertAlign w:val="superscript"/>
    </w:rPr>
  </w:style>
  <w:style w:type="character" w:customStyle="1" w:styleId="Nadpis8Char">
    <w:name w:val="Nadpis 8 Char"/>
    <w:basedOn w:val="Predvolenpsmoodseku"/>
    <w:link w:val="Nadpis8"/>
    <w:uiPriority w:val="9"/>
    <w:semiHidden/>
    <w:rsid w:val="00806626"/>
    <w:rPr>
      <w:rFonts w:asciiTheme="majorHAnsi" w:eastAsiaTheme="majorEastAsia" w:hAnsiTheme="majorHAnsi" w:cstheme="majorBidi"/>
      <w:b/>
      <w:bCs/>
      <w:i/>
      <w:iCs/>
      <w:color w:val="B5AE53" w:themeColor="accent3"/>
      <w:sz w:val="20"/>
      <w:szCs w:val="20"/>
    </w:rPr>
  </w:style>
  <w:style w:type="character" w:customStyle="1" w:styleId="Nadpis9Char">
    <w:name w:val="Nadpis 9 Char"/>
    <w:basedOn w:val="Predvolenpsmoodseku"/>
    <w:link w:val="Nadpis9"/>
    <w:uiPriority w:val="9"/>
    <w:semiHidden/>
    <w:rsid w:val="00806626"/>
    <w:rPr>
      <w:rFonts w:asciiTheme="majorHAnsi" w:eastAsiaTheme="majorEastAsia" w:hAnsiTheme="majorHAnsi" w:cstheme="majorBidi"/>
      <w:i/>
      <w:iCs/>
      <w:color w:val="B5AE53" w:themeColor="accent3"/>
      <w:sz w:val="20"/>
      <w:szCs w:val="20"/>
    </w:rPr>
  </w:style>
  <w:style w:type="paragraph" w:styleId="Popis">
    <w:name w:val="caption"/>
    <w:basedOn w:val="Normlny"/>
    <w:next w:val="Normlny"/>
    <w:uiPriority w:val="35"/>
    <w:semiHidden/>
    <w:unhideWhenUsed/>
    <w:qFormat/>
    <w:rsid w:val="00806626"/>
    <w:rPr>
      <w:b/>
      <w:bCs/>
      <w:sz w:val="18"/>
      <w:szCs w:val="18"/>
    </w:rPr>
  </w:style>
  <w:style w:type="paragraph" w:styleId="Nzov">
    <w:name w:val="Title"/>
    <w:basedOn w:val="Normlny"/>
    <w:next w:val="Normlny"/>
    <w:link w:val="NzovChar"/>
    <w:uiPriority w:val="10"/>
    <w:qFormat/>
    <w:rsid w:val="00806626"/>
    <w:pPr>
      <w:pBdr>
        <w:top w:val="single" w:sz="8" w:space="10" w:color="9FC0B2" w:themeColor="accent1" w:themeTint="7F"/>
        <w:bottom w:val="single" w:sz="24" w:space="15" w:color="B5AE53" w:themeColor="accent3"/>
      </w:pBdr>
      <w:ind w:firstLine="0"/>
      <w:jc w:val="center"/>
    </w:pPr>
    <w:rPr>
      <w:rFonts w:asciiTheme="majorHAnsi" w:eastAsiaTheme="majorEastAsia" w:hAnsiTheme="majorHAnsi" w:cstheme="majorBidi"/>
      <w:i/>
      <w:iCs/>
      <w:color w:val="253A31" w:themeColor="accent1" w:themeShade="7F"/>
      <w:sz w:val="60"/>
      <w:szCs w:val="60"/>
    </w:rPr>
  </w:style>
  <w:style w:type="character" w:customStyle="1" w:styleId="NzovChar">
    <w:name w:val="Názov Char"/>
    <w:basedOn w:val="Predvolenpsmoodseku"/>
    <w:link w:val="Nzov"/>
    <w:uiPriority w:val="10"/>
    <w:rsid w:val="00806626"/>
    <w:rPr>
      <w:rFonts w:asciiTheme="majorHAnsi" w:eastAsiaTheme="majorEastAsia" w:hAnsiTheme="majorHAnsi" w:cstheme="majorBidi"/>
      <w:i/>
      <w:iCs/>
      <w:color w:val="253A31" w:themeColor="accent1" w:themeShade="7F"/>
      <w:sz w:val="60"/>
      <w:szCs w:val="60"/>
    </w:rPr>
  </w:style>
  <w:style w:type="paragraph" w:styleId="Podtitul">
    <w:name w:val="Subtitle"/>
    <w:basedOn w:val="Normlny"/>
    <w:next w:val="Normlny"/>
    <w:link w:val="PodtitulChar"/>
    <w:uiPriority w:val="11"/>
    <w:qFormat/>
    <w:rsid w:val="00806626"/>
    <w:pPr>
      <w:spacing w:before="200" w:after="900"/>
      <w:ind w:firstLine="0"/>
      <w:jc w:val="right"/>
    </w:pPr>
    <w:rPr>
      <w:i/>
      <w:iCs/>
      <w:sz w:val="24"/>
      <w:szCs w:val="24"/>
    </w:rPr>
  </w:style>
  <w:style w:type="character" w:customStyle="1" w:styleId="PodtitulChar">
    <w:name w:val="Podtitul Char"/>
    <w:basedOn w:val="Predvolenpsmoodseku"/>
    <w:link w:val="Podtitul"/>
    <w:uiPriority w:val="11"/>
    <w:rsid w:val="00806626"/>
    <w:rPr>
      <w:i/>
      <w:iCs/>
      <w:sz w:val="24"/>
      <w:szCs w:val="24"/>
    </w:rPr>
  </w:style>
  <w:style w:type="character" w:styleId="Siln">
    <w:name w:val="Strong"/>
    <w:basedOn w:val="Predvolenpsmoodseku"/>
    <w:uiPriority w:val="22"/>
    <w:qFormat/>
    <w:rsid w:val="00806626"/>
    <w:rPr>
      <w:b/>
      <w:bCs/>
      <w:spacing w:val="0"/>
    </w:rPr>
  </w:style>
  <w:style w:type="paragraph" w:styleId="Bezriadkovania">
    <w:name w:val="No Spacing"/>
    <w:basedOn w:val="Normlny"/>
    <w:link w:val="BezriadkovaniaChar"/>
    <w:uiPriority w:val="1"/>
    <w:qFormat/>
    <w:rsid w:val="00806626"/>
    <w:pPr>
      <w:ind w:firstLine="0"/>
    </w:pPr>
  </w:style>
  <w:style w:type="character" w:customStyle="1" w:styleId="BezriadkovaniaChar">
    <w:name w:val="Bez riadkovania Char"/>
    <w:basedOn w:val="Predvolenpsmoodseku"/>
    <w:link w:val="Bezriadkovania"/>
    <w:uiPriority w:val="1"/>
    <w:rsid w:val="00806626"/>
  </w:style>
  <w:style w:type="paragraph" w:styleId="Citcia">
    <w:name w:val="Quote"/>
    <w:basedOn w:val="Normlny"/>
    <w:next w:val="Normlny"/>
    <w:link w:val="CitciaChar"/>
    <w:uiPriority w:val="29"/>
    <w:qFormat/>
    <w:rsid w:val="00806626"/>
    <w:rPr>
      <w:rFonts w:asciiTheme="majorHAnsi" w:eastAsiaTheme="majorEastAsia" w:hAnsiTheme="majorHAnsi" w:cstheme="majorBidi"/>
      <w:i/>
      <w:iCs/>
      <w:color w:val="5A5A5A" w:themeColor="text1" w:themeTint="A5"/>
    </w:rPr>
  </w:style>
  <w:style w:type="character" w:customStyle="1" w:styleId="CitciaChar">
    <w:name w:val="Citácia Char"/>
    <w:basedOn w:val="Predvolenpsmoodseku"/>
    <w:link w:val="Citcia"/>
    <w:uiPriority w:val="29"/>
    <w:rsid w:val="00806626"/>
    <w:rPr>
      <w:rFonts w:asciiTheme="majorHAnsi" w:eastAsiaTheme="majorEastAsia" w:hAnsiTheme="majorHAnsi" w:cstheme="majorBidi"/>
      <w:i/>
      <w:iCs/>
      <w:color w:val="5A5A5A" w:themeColor="text1" w:themeTint="A5"/>
    </w:rPr>
  </w:style>
  <w:style w:type="paragraph" w:styleId="Zvraznencitcia">
    <w:name w:val="Intense Quote"/>
    <w:basedOn w:val="Normlny"/>
    <w:next w:val="Normlny"/>
    <w:link w:val="ZvraznencitciaChar"/>
    <w:uiPriority w:val="30"/>
    <w:qFormat/>
    <w:rsid w:val="00806626"/>
    <w:pPr>
      <w:pBdr>
        <w:top w:val="single" w:sz="12" w:space="10" w:color="B2CDC1" w:themeColor="accent1" w:themeTint="66"/>
        <w:left w:val="single" w:sz="36" w:space="4" w:color="4C7563" w:themeColor="accent1"/>
        <w:bottom w:val="single" w:sz="24" w:space="10" w:color="B5AE53" w:themeColor="accent3"/>
        <w:right w:val="single" w:sz="36" w:space="4" w:color="4C7563" w:themeColor="accent1"/>
      </w:pBdr>
      <w:shd w:val="clear" w:color="auto" w:fill="4C7563"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ZvraznencitciaChar">
    <w:name w:val="Zvýraznená citácia Char"/>
    <w:basedOn w:val="Predvolenpsmoodseku"/>
    <w:link w:val="Zvraznencitcia"/>
    <w:uiPriority w:val="30"/>
    <w:rsid w:val="00806626"/>
    <w:rPr>
      <w:rFonts w:asciiTheme="majorHAnsi" w:eastAsiaTheme="majorEastAsia" w:hAnsiTheme="majorHAnsi" w:cstheme="majorBidi"/>
      <w:i/>
      <w:iCs/>
      <w:color w:val="FFFFFF" w:themeColor="background1"/>
      <w:sz w:val="24"/>
      <w:szCs w:val="24"/>
      <w:shd w:val="clear" w:color="auto" w:fill="4C7563" w:themeFill="accent1"/>
    </w:rPr>
  </w:style>
  <w:style w:type="character" w:styleId="Jemnzvraznenie">
    <w:name w:val="Subtle Emphasis"/>
    <w:uiPriority w:val="19"/>
    <w:qFormat/>
    <w:rsid w:val="00806626"/>
    <w:rPr>
      <w:i/>
      <w:iCs/>
      <w:color w:val="5A5A5A" w:themeColor="text1" w:themeTint="A5"/>
    </w:rPr>
  </w:style>
  <w:style w:type="character" w:styleId="Intenzvnezvraznenie">
    <w:name w:val="Intense Emphasis"/>
    <w:uiPriority w:val="21"/>
    <w:qFormat/>
    <w:rsid w:val="00806626"/>
    <w:rPr>
      <w:b/>
      <w:bCs/>
      <w:i/>
      <w:iCs/>
      <w:color w:val="4C7563" w:themeColor="accent1"/>
      <w:sz w:val="22"/>
      <w:szCs w:val="22"/>
    </w:rPr>
  </w:style>
  <w:style w:type="character" w:styleId="Jemnodkaz">
    <w:name w:val="Subtle Reference"/>
    <w:uiPriority w:val="31"/>
    <w:qFormat/>
    <w:rsid w:val="00806626"/>
    <w:rPr>
      <w:color w:val="auto"/>
      <w:u w:val="single" w:color="B5AE53" w:themeColor="accent3"/>
    </w:rPr>
  </w:style>
  <w:style w:type="character" w:styleId="Intenzvnyodkaz">
    <w:name w:val="Intense Reference"/>
    <w:basedOn w:val="Predvolenpsmoodseku"/>
    <w:uiPriority w:val="32"/>
    <w:qFormat/>
    <w:rsid w:val="00806626"/>
    <w:rPr>
      <w:b/>
      <w:bCs/>
      <w:color w:val="8A843B" w:themeColor="accent3" w:themeShade="BF"/>
      <w:u w:val="single" w:color="B5AE53" w:themeColor="accent3"/>
    </w:rPr>
  </w:style>
  <w:style w:type="character" w:styleId="Nzovknihy">
    <w:name w:val="Book Title"/>
    <w:basedOn w:val="Predvolenpsmoodseku"/>
    <w:uiPriority w:val="33"/>
    <w:qFormat/>
    <w:rsid w:val="00806626"/>
    <w:rPr>
      <w:rFonts w:asciiTheme="majorHAnsi" w:eastAsiaTheme="majorEastAsia" w:hAnsiTheme="majorHAnsi" w:cstheme="majorBidi"/>
      <w:b/>
      <w:bCs/>
      <w:i/>
      <w:iCs/>
      <w:color w:val="auto"/>
    </w:rPr>
  </w:style>
  <w:style w:type="character" w:styleId="Odkaznapoznmkupodiarou">
    <w:name w:val="footnote reference"/>
    <w:basedOn w:val="Predvolenpsmoodseku"/>
    <w:uiPriority w:val="99"/>
    <w:semiHidden/>
    <w:unhideWhenUsed/>
    <w:rsid w:val="00CB60A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8443208">
      <w:bodyDiv w:val="1"/>
      <w:marLeft w:val="0"/>
      <w:marRight w:val="0"/>
      <w:marTop w:val="0"/>
      <w:marBottom w:val="0"/>
      <w:divBdr>
        <w:top w:val="none" w:sz="0" w:space="0" w:color="auto"/>
        <w:left w:val="none" w:sz="0" w:space="0" w:color="auto"/>
        <w:bottom w:val="none" w:sz="0" w:space="0" w:color="auto"/>
        <w:right w:val="none" w:sz="0" w:space="0" w:color="auto"/>
      </w:divBdr>
      <w:divsChild>
        <w:div w:id="309790420">
          <w:marLeft w:val="0"/>
          <w:marRight w:val="0"/>
          <w:marTop w:val="0"/>
          <w:marBottom w:val="0"/>
          <w:divBdr>
            <w:top w:val="none" w:sz="0" w:space="0" w:color="auto"/>
            <w:left w:val="none" w:sz="0" w:space="0" w:color="auto"/>
            <w:bottom w:val="none" w:sz="0" w:space="0" w:color="auto"/>
            <w:right w:val="none" w:sz="0" w:space="0" w:color="auto"/>
          </w:divBdr>
          <w:divsChild>
            <w:div w:id="1637176246">
              <w:marLeft w:val="0"/>
              <w:marRight w:val="0"/>
              <w:marTop w:val="0"/>
              <w:marBottom w:val="0"/>
              <w:divBdr>
                <w:top w:val="none" w:sz="0" w:space="0" w:color="auto"/>
                <w:left w:val="none" w:sz="0" w:space="0" w:color="auto"/>
                <w:bottom w:val="none" w:sz="0" w:space="0" w:color="auto"/>
                <w:right w:val="none" w:sz="0" w:space="0" w:color="auto"/>
              </w:divBdr>
              <w:divsChild>
                <w:div w:id="61492789">
                  <w:marLeft w:val="0"/>
                  <w:marRight w:val="300"/>
                  <w:marTop w:val="300"/>
                  <w:marBottom w:val="300"/>
                  <w:divBdr>
                    <w:top w:val="none" w:sz="0" w:space="0" w:color="auto"/>
                    <w:left w:val="none" w:sz="0" w:space="0" w:color="auto"/>
                    <w:bottom w:val="none" w:sz="0" w:space="0" w:color="auto"/>
                    <w:right w:val="none" w:sz="0" w:space="0" w:color="auto"/>
                  </w:divBdr>
                </w:div>
              </w:divsChild>
            </w:div>
          </w:divsChild>
        </w:div>
      </w:divsChild>
    </w:div>
    <w:div w:id="2033915374">
      <w:bodyDiv w:val="1"/>
      <w:marLeft w:val="0"/>
      <w:marRight w:val="0"/>
      <w:marTop w:val="0"/>
      <w:marBottom w:val="0"/>
      <w:divBdr>
        <w:top w:val="none" w:sz="0" w:space="0" w:color="auto"/>
        <w:left w:val="none" w:sz="0" w:space="0" w:color="auto"/>
        <w:bottom w:val="none" w:sz="0" w:space="0" w:color="auto"/>
        <w:right w:val="none" w:sz="0" w:space="0" w:color="auto"/>
      </w:divBdr>
      <w:divsChild>
        <w:div w:id="338777267">
          <w:marLeft w:val="0"/>
          <w:marRight w:val="0"/>
          <w:marTop w:val="0"/>
          <w:marBottom w:val="0"/>
          <w:divBdr>
            <w:top w:val="none" w:sz="0" w:space="0" w:color="auto"/>
            <w:left w:val="none" w:sz="0" w:space="0" w:color="auto"/>
            <w:bottom w:val="none" w:sz="0" w:space="0" w:color="auto"/>
            <w:right w:val="none" w:sz="0" w:space="0" w:color="auto"/>
          </w:divBdr>
          <w:divsChild>
            <w:div w:id="1414931996">
              <w:marLeft w:val="0"/>
              <w:marRight w:val="0"/>
              <w:marTop w:val="0"/>
              <w:marBottom w:val="0"/>
              <w:divBdr>
                <w:top w:val="none" w:sz="0" w:space="0" w:color="auto"/>
                <w:left w:val="none" w:sz="0" w:space="0" w:color="auto"/>
                <w:bottom w:val="none" w:sz="0" w:space="0" w:color="auto"/>
                <w:right w:val="none" w:sz="0" w:space="0" w:color="auto"/>
              </w:divBdr>
              <w:divsChild>
                <w:div w:id="2051374384">
                  <w:marLeft w:val="0"/>
                  <w:marRight w:val="0"/>
                  <w:marTop w:val="0"/>
                  <w:marBottom w:val="0"/>
                  <w:divBdr>
                    <w:top w:val="none" w:sz="0" w:space="0" w:color="auto"/>
                    <w:left w:val="none" w:sz="0" w:space="0" w:color="auto"/>
                    <w:bottom w:val="none" w:sz="0" w:space="0" w:color="auto"/>
                    <w:right w:val="none" w:sz="0" w:space="0" w:color="auto"/>
                  </w:divBdr>
                  <w:divsChild>
                    <w:div w:id="411313258">
                      <w:marLeft w:val="0"/>
                      <w:marRight w:val="0"/>
                      <w:marTop w:val="0"/>
                      <w:marBottom w:val="0"/>
                      <w:divBdr>
                        <w:top w:val="none" w:sz="0" w:space="0" w:color="auto"/>
                        <w:left w:val="none" w:sz="0" w:space="0" w:color="auto"/>
                        <w:bottom w:val="none" w:sz="0" w:space="0" w:color="auto"/>
                        <w:right w:val="none" w:sz="0" w:space="0" w:color="auto"/>
                      </w:divBdr>
                      <w:divsChild>
                        <w:div w:id="434256287">
                          <w:marLeft w:val="0"/>
                          <w:marRight w:val="0"/>
                          <w:marTop w:val="0"/>
                          <w:marBottom w:val="0"/>
                          <w:divBdr>
                            <w:top w:val="none" w:sz="0" w:space="0" w:color="auto"/>
                            <w:left w:val="none" w:sz="0" w:space="0" w:color="auto"/>
                            <w:bottom w:val="none" w:sz="0" w:space="0" w:color="auto"/>
                            <w:right w:val="none" w:sz="0" w:space="0" w:color="auto"/>
                          </w:divBdr>
                          <w:divsChild>
                            <w:div w:id="596787292">
                              <w:marLeft w:val="0"/>
                              <w:marRight w:val="0"/>
                              <w:marTop w:val="0"/>
                              <w:marBottom w:val="0"/>
                              <w:divBdr>
                                <w:top w:val="none" w:sz="0" w:space="0" w:color="auto"/>
                                <w:left w:val="none" w:sz="0" w:space="0" w:color="auto"/>
                                <w:bottom w:val="none" w:sz="0" w:space="0" w:color="auto"/>
                                <w:right w:val="none" w:sz="0" w:space="0" w:color="auto"/>
                              </w:divBdr>
                              <w:divsChild>
                                <w:div w:id="1239513808">
                                  <w:marLeft w:val="0"/>
                                  <w:marRight w:val="0"/>
                                  <w:marTop w:val="0"/>
                                  <w:marBottom w:val="0"/>
                                  <w:divBdr>
                                    <w:top w:val="none" w:sz="0" w:space="0" w:color="auto"/>
                                    <w:left w:val="none" w:sz="0" w:space="0" w:color="auto"/>
                                    <w:bottom w:val="none" w:sz="0" w:space="0" w:color="auto"/>
                                    <w:right w:val="none" w:sz="0" w:space="0" w:color="auto"/>
                                  </w:divBdr>
                                  <w:divsChild>
                                    <w:div w:id="1172522614">
                                      <w:marLeft w:val="0"/>
                                      <w:marRight w:val="0"/>
                                      <w:marTop w:val="0"/>
                                      <w:marBottom w:val="0"/>
                                      <w:divBdr>
                                        <w:top w:val="none" w:sz="0" w:space="0" w:color="auto"/>
                                        <w:left w:val="none" w:sz="0" w:space="0" w:color="auto"/>
                                        <w:bottom w:val="none" w:sz="0" w:space="0" w:color="auto"/>
                                        <w:right w:val="none" w:sz="0" w:space="0" w:color="auto"/>
                                      </w:divBdr>
                                      <w:divsChild>
                                        <w:div w:id="613054931">
                                          <w:marLeft w:val="0"/>
                                          <w:marRight w:val="0"/>
                                          <w:marTop w:val="0"/>
                                          <w:marBottom w:val="0"/>
                                          <w:divBdr>
                                            <w:top w:val="none" w:sz="0" w:space="0" w:color="auto"/>
                                            <w:left w:val="none" w:sz="0" w:space="0" w:color="auto"/>
                                            <w:bottom w:val="none" w:sz="0" w:space="0" w:color="auto"/>
                                            <w:right w:val="none" w:sz="0" w:space="0" w:color="auto"/>
                                          </w:divBdr>
                                          <w:divsChild>
                                            <w:div w:id="1078791487">
                                              <w:marLeft w:val="0"/>
                                              <w:marRight w:val="0"/>
                                              <w:marTop w:val="0"/>
                                              <w:marBottom w:val="0"/>
                                              <w:divBdr>
                                                <w:top w:val="none" w:sz="0" w:space="0" w:color="auto"/>
                                                <w:left w:val="none" w:sz="0" w:space="0" w:color="auto"/>
                                                <w:bottom w:val="none" w:sz="0" w:space="0" w:color="auto"/>
                                                <w:right w:val="none" w:sz="0" w:space="0" w:color="auto"/>
                                              </w:divBdr>
                                              <w:divsChild>
                                                <w:div w:id="1788507659">
                                                  <w:marLeft w:val="0"/>
                                                  <w:marRight w:val="0"/>
                                                  <w:marTop w:val="0"/>
                                                  <w:marBottom w:val="0"/>
                                                  <w:divBdr>
                                                    <w:top w:val="none" w:sz="0" w:space="0" w:color="auto"/>
                                                    <w:left w:val="none" w:sz="0" w:space="0" w:color="auto"/>
                                                    <w:bottom w:val="none" w:sz="0" w:space="0" w:color="auto"/>
                                                    <w:right w:val="none" w:sz="0" w:space="0" w:color="auto"/>
                                                  </w:divBdr>
                                                  <w:divsChild>
                                                    <w:div w:id="217862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cdcp.sk"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http://www.cdcp.s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Office">
  <a:themeElements>
    <a:clrScheme name="Vlastná 1">
      <a:dk1>
        <a:sysClr val="windowText" lastClr="000000"/>
      </a:dk1>
      <a:lt1>
        <a:sysClr val="window" lastClr="FFFFFF"/>
      </a:lt1>
      <a:dk2>
        <a:srgbClr val="564B3C"/>
      </a:dk2>
      <a:lt2>
        <a:srgbClr val="ECEDD1"/>
      </a:lt2>
      <a:accent1>
        <a:srgbClr val="4C7563"/>
      </a:accent1>
      <a:accent2>
        <a:srgbClr val="CF543F"/>
      </a:accent2>
      <a:accent3>
        <a:srgbClr val="B5AE53"/>
      </a:accent3>
      <a:accent4>
        <a:srgbClr val="848058"/>
      </a:accent4>
      <a:accent5>
        <a:srgbClr val="E8B54D"/>
      </a:accent5>
      <a:accent6>
        <a:srgbClr val="786C71"/>
      </a:accent6>
      <a:hlink>
        <a:srgbClr val="CCCC00"/>
      </a:hlink>
      <a:folHlink>
        <a:srgbClr val="B2B2B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11E05-21F5-4E87-AF47-FD74DBD9CF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824</TotalTime>
  <Pages>10</Pages>
  <Words>1799</Words>
  <Characters>10256</Characters>
  <Application>Microsoft Office Word</Application>
  <DocSecurity>0</DocSecurity>
  <Lines>85</Lines>
  <Paragraphs>24</Paragraphs>
  <ScaleCrop>false</ScaleCrop>
  <HeadingPairs>
    <vt:vector size="4" baseType="variant">
      <vt:variant>
        <vt:lpstr>Názov</vt:lpstr>
      </vt:variant>
      <vt:variant>
        <vt:i4>1</vt:i4>
      </vt:variant>
      <vt:variant>
        <vt:lpstr>Title</vt:lpstr>
      </vt:variant>
      <vt:variant>
        <vt:i4>1</vt:i4>
      </vt:variant>
    </vt:vector>
  </HeadingPairs>
  <TitlesOfParts>
    <vt:vector size="2" baseType="lpstr">
      <vt:lpstr/>
      <vt:lpstr/>
    </vt:vector>
  </TitlesOfParts>
  <Company>Centrálny depozitár cenných papierov SR, a.s.</Company>
  <LinksUpToDate>false</LinksUpToDate>
  <CharactersWithSpaces>12031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Hozzová Vladimíra Mgr.</dc:creator>
  <cp:lastModifiedBy>Ninis Michal JUDr.</cp:lastModifiedBy>
  <cp:revision>46</cp:revision>
  <cp:lastPrinted>2017-01-13T11:19:00Z</cp:lastPrinted>
  <dcterms:created xsi:type="dcterms:W3CDTF">2017-11-15T15:24:00Z</dcterms:created>
  <dcterms:modified xsi:type="dcterms:W3CDTF">2018-07-06T12:57:00Z</dcterms:modified>
</cp:coreProperties>
</file>