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64C" w:rsidRDefault="0046064C">
      <w:pPr>
        <w:rPr>
          <w:rFonts w:ascii="Times New Roman" w:hAnsi="Times New Roman" w:cs="Times New Roman"/>
          <w:b/>
          <w:bCs/>
          <w:color w:val="000000"/>
          <w:sz w:val="24"/>
          <w:szCs w:val="24"/>
          <w:u w:val="single"/>
          <w:lang w:val="en-GB"/>
        </w:rPr>
      </w:pPr>
    </w:p>
    <w:p w:rsidR="0046064C" w:rsidRDefault="0046064C">
      <w:pPr>
        <w:rPr>
          <w:rFonts w:ascii="Times New Roman" w:hAnsi="Times New Roman" w:cs="Times New Roman"/>
          <w:b/>
          <w:bCs/>
          <w:color w:val="000000"/>
          <w:sz w:val="24"/>
          <w:szCs w:val="24"/>
          <w:u w:val="single"/>
          <w:lang w:val="en-GB"/>
        </w:rPr>
      </w:pPr>
    </w:p>
    <w:p w:rsidR="0046064C" w:rsidRDefault="0046064C">
      <w:pPr>
        <w:rPr>
          <w:rFonts w:ascii="Times New Roman" w:hAnsi="Times New Roman" w:cs="Times New Roman"/>
          <w:b/>
          <w:bCs/>
          <w:color w:val="000000"/>
          <w:sz w:val="24"/>
          <w:szCs w:val="24"/>
          <w:u w:val="single"/>
          <w:lang w:val="en-GB"/>
        </w:rPr>
      </w:pPr>
    </w:p>
    <w:p w:rsidR="0046064C" w:rsidRDefault="0046064C">
      <w:pPr>
        <w:rPr>
          <w:rFonts w:ascii="Times New Roman" w:hAnsi="Times New Roman" w:cs="Times New Roman"/>
          <w:b/>
          <w:bCs/>
          <w:color w:val="000000"/>
          <w:sz w:val="24"/>
          <w:szCs w:val="24"/>
          <w:u w:val="single"/>
          <w:lang w:val="en-GB"/>
        </w:rPr>
      </w:pPr>
    </w:p>
    <w:p w:rsidR="00031A67" w:rsidRDefault="00031A67">
      <w:pPr>
        <w:rPr>
          <w:rFonts w:ascii="Times New Roman" w:hAnsi="Times New Roman" w:cs="Times New Roman"/>
          <w:b/>
          <w:bCs/>
          <w:color w:val="000000"/>
          <w:sz w:val="24"/>
          <w:szCs w:val="24"/>
          <w:u w:val="single"/>
          <w:lang w:val="en-GB"/>
        </w:rPr>
      </w:pPr>
    </w:p>
    <w:p w:rsidR="00031A67" w:rsidRDefault="00031A67">
      <w:pPr>
        <w:rPr>
          <w:rFonts w:ascii="Times New Roman" w:hAnsi="Times New Roman" w:cs="Times New Roman"/>
          <w:b/>
          <w:bCs/>
          <w:color w:val="000000"/>
          <w:sz w:val="24"/>
          <w:szCs w:val="24"/>
          <w:u w:val="single"/>
          <w:lang w:val="en-GB"/>
        </w:rPr>
      </w:pPr>
    </w:p>
    <w:p w:rsidR="00031A67" w:rsidRDefault="00031A67">
      <w:pPr>
        <w:rPr>
          <w:rFonts w:ascii="Times New Roman" w:hAnsi="Times New Roman" w:cs="Times New Roman"/>
          <w:b/>
          <w:bCs/>
          <w:color w:val="000000"/>
          <w:sz w:val="24"/>
          <w:szCs w:val="24"/>
          <w:u w:val="single"/>
          <w:lang w:val="en-GB"/>
        </w:rPr>
      </w:pPr>
    </w:p>
    <w:p w:rsidR="0046064C" w:rsidRDefault="0046064C" w:rsidP="0046064C">
      <w:pPr>
        <w:spacing w:line="240" w:lineRule="auto"/>
        <w:rPr>
          <w:sz w:val="28"/>
        </w:rPr>
      </w:pPr>
    </w:p>
    <w:p w:rsidR="0046064C" w:rsidRPr="0046064C" w:rsidRDefault="0046064C" w:rsidP="0046064C">
      <w:pPr>
        <w:spacing w:line="240" w:lineRule="auto"/>
        <w:rPr>
          <w:rFonts w:ascii="Times New Roman" w:hAnsi="Times New Roman" w:cs="Times New Roman"/>
          <w:b/>
          <w:color w:val="4F81BD" w:themeColor="accent1"/>
          <w:sz w:val="56"/>
        </w:rPr>
      </w:pPr>
    </w:p>
    <w:p w:rsidR="0046064C" w:rsidRPr="00094BF0" w:rsidRDefault="0046064C" w:rsidP="0046064C">
      <w:pPr>
        <w:jc w:val="center"/>
        <w:rPr>
          <w:rFonts w:ascii="Times New Roman" w:hAnsi="Times New Roman" w:cs="Times New Roman"/>
          <w:b/>
          <w:color w:val="4C7563"/>
          <w:sz w:val="44"/>
        </w:rPr>
      </w:pPr>
      <w:r w:rsidRPr="00094BF0">
        <w:rPr>
          <w:rFonts w:ascii="Times New Roman" w:hAnsi="Times New Roman" w:cs="Times New Roman"/>
          <w:b/>
          <w:color w:val="4C7563"/>
          <w:sz w:val="44"/>
        </w:rPr>
        <w:t xml:space="preserve">POLICY FOR MANAGING </w:t>
      </w:r>
      <w:r w:rsidRPr="00094BF0">
        <w:rPr>
          <w:rFonts w:ascii="Times New Roman" w:hAnsi="Times New Roman" w:cs="Times New Roman"/>
          <w:b/>
          <w:color w:val="4C7563"/>
          <w:sz w:val="44"/>
        </w:rPr>
        <w:br/>
        <w:t>CONFLICT OF INTEREST</w:t>
      </w:r>
    </w:p>
    <w:p w:rsidR="0046064C" w:rsidRPr="00094BF0" w:rsidRDefault="00094BF0" w:rsidP="0046064C">
      <w:pPr>
        <w:jc w:val="center"/>
        <w:rPr>
          <w:rFonts w:ascii="Times New Roman" w:hAnsi="Times New Roman" w:cs="Times New Roman"/>
          <w:b/>
          <w:color w:val="4C7563"/>
          <w:sz w:val="40"/>
        </w:rPr>
      </w:pPr>
      <w:r w:rsidRPr="00094BF0">
        <w:rPr>
          <w:rFonts w:ascii="Times New Roman" w:hAnsi="Times New Roman" w:cs="Times New Roman"/>
          <w:b/>
          <w:color w:val="4C7563"/>
          <w:sz w:val="40"/>
        </w:rPr>
        <w:t xml:space="preserve">in Centrálny depozitár cenných papierov SR, </w:t>
      </w:r>
      <w:proofErr w:type="spellStart"/>
      <w:r w:rsidRPr="00094BF0">
        <w:rPr>
          <w:rFonts w:ascii="Times New Roman" w:hAnsi="Times New Roman" w:cs="Times New Roman"/>
          <w:b/>
          <w:color w:val="4C7563"/>
          <w:sz w:val="40"/>
        </w:rPr>
        <w:t>a.s</w:t>
      </w:r>
      <w:proofErr w:type="spellEnd"/>
      <w:r w:rsidRPr="00094BF0">
        <w:rPr>
          <w:rFonts w:ascii="Times New Roman" w:hAnsi="Times New Roman" w:cs="Times New Roman"/>
          <w:b/>
          <w:color w:val="4C7563"/>
          <w:sz w:val="40"/>
        </w:rPr>
        <w:t>.</w:t>
      </w:r>
    </w:p>
    <w:p w:rsidR="0046064C" w:rsidRDefault="0046064C">
      <w:pPr>
        <w:rPr>
          <w:rFonts w:ascii="Times New Roman" w:hAnsi="Times New Roman" w:cs="Times New Roman"/>
          <w:b/>
          <w:bCs/>
          <w:color w:val="000000"/>
          <w:sz w:val="24"/>
          <w:szCs w:val="24"/>
          <w:u w:val="single"/>
          <w:lang w:val="en-GB"/>
        </w:rPr>
      </w:pPr>
    </w:p>
    <w:p w:rsidR="0046064C" w:rsidRDefault="0046064C" w:rsidP="0046064C">
      <w:pPr>
        <w:jc w:val="right"/>
        <w:rPr>
          <w:rFonts w:cs="Times New Roman"/>
          <w:b/>
          <w:color w:val="4C7563"/>
        </w:rPr>
      </w:pPr>
    </w:p>
    <w:p w:rsidR="0046064C" w:rsidRDefault="0046064C" w:rsidP="0046064C">
      <w:pPr>
        <w:jc w:val="right"/>
        <w:rPr>
          <w:rFonts w:cs="Times New Roman"/>
          <w:b/>
          <w:color w:val="4C7563"/>
        </w:rPr>
      </w:pPr>
    </w:p>
    <w:p w:rsidR="0046064C" w:rsidRDefault="0046064C" w:rsidP="0046064C">
      <w:pPr>
        <w:jc w:val="right"/>
        <w:rPr>
          <w:rFonts w:cs="Times New Roman"/>
          <w:b/>
          <w:color w:val="4C7563"/>
        </w:rPr>
      </w:pPr>
    </w:p>
    <w:p w:rsidR="00094BF0" w:rsidRDefault="00094BF0" w:rsidP="0046064C">
      <w:pPr>
        <w:jc w:val="right"/>
        <w:rPr>
          <w:rFonts w:cs="Times New Roman"/>
          <w:b/>
          <w:color w:val="4C7563"/>
        </w:rPr>
      </w:pPr>
    </w:p>
    <w:p w:rsidR="00094BF0" w:rsidRDefault="00094BF0" w:rsidP="0046064C">
      <w:pPr>
        <w:jc w:val="right"/>
        <w:rPr>
          <w:rFonts w:cs="Times New Roman"/>
          <w:b/>
          <w:color w:val="4C7563"/>
        </w:rPr>
      </w:pPr>
    </w:p>
    <w:p w:rsidR="00094BF0" w:rsidRDefault="00094BF0" w:rsidP="0046064C">
      <w:pPr>
        <w:jc w:val="right"/>
        <w:rPr>
          <w:rFonts w:cs="Times New Roman"/>
          <w:b/>
          <w:color w:val="4C7563"/>
        </w:rPr>
      </w:pPr>
    </w:p>
    <w:p w:rsidR="0046064C" w:rsidRDefault="0046064C" w:rsidP="0046064C">
      <w:pPr>
        <w:jc w:val="right"/>
        <w:rPr>
          <w:rFonts w:cs="Times New Roman"/>
          <w:b/>
          <w:color w:val="4C7563"/>
        </w:rPr>
      </w:pPr>
    </w:p>
    <w:p w:rsidR="0046064C" w:rsidRDefault="0046064C" w:rsidP="0046064C">
      <w:pPr>
        <w:jc w:val="right"/>
        <w:rPr>
          <w:rFonts w:cs="Times New Roman"/>
          <w:b/>
          <w:color w:val="4C7563"/>
        </w:rPr>
      </w:pPr>
    </w:p>
    <w:p w:rsidR="0046064C" w:rsidRDefault="0046064C" w:rsidP="0046064C">
      <w:pPr>
        <w:jc w:val="right"/>
        <w:rPr>
          <w:rFonts w:cs="Times New Roman"/>
          <w:b/>
          <w:color w:val="4C7563"/>
        </w:rPr>
      </w:pPr>
    </w:p>
    <w:p w:rsidR="0046064C" w:rsidRPr="0046064C" w:rsidRDefault="00BD48D3" w:rsidP="0046064C">
      <w:pPr>
        <w:jc w:val="right"/>
        <w:rPr>
          <w:rFonts w:ascii="Times New Roman" w:hAnsi="Times New Roman" w:cs="Times New Roman"/>
          <w:b/>
          <w:color w:val="4C7563"/>
        </w:rPr>
      </w:pPr>
      <w:r>
        <w:rPr>
          <w:rFonts w:ascii="Times New Roman" w:hAnsi="Times New Roman" w:cs="Times New Roman"/>
          <w:b/>
          <w:color w:val="4C7563"/>
        </w:rPr>
        <w:t>24</w:t>
      </w:r>
      <w:r w:rsidR="0046064C">
        <w:rPr>
          <w:rFonts w:ascii="Times New Roman" w:hAnsi="Times New Roman" w:cs="Times New Roman"/>
          <w:b/>
          <w:color w:val="4C7563"/>
        </w:rPr>
        <w:t xml:space="preserve"> </w:t>
      </w:r>
      <w:r>
        <w:rPr>
          <w:rFonts w:ascii="Times New Roman" w:hAnsi="Times New Roman" w:cs="Times New Roman"/>
          <w:b/>
          <w:color w:val="4C7563"/>
        </w:rPr>
        <w:t>August</w:t>
      </w:r>
      <w:r w:rsidR="0046064C">
        <w:rPr>
          <w:rFonts w:ascii="Times New Roman" w:hAnsi="Times New Roman" w:cs="Times New Roman"/>
          <w:b/>
          <w:color w:val="4C7563"/>
        </w:rPr>
        <w:t xml:space="preserve"> </w:t>
      </w:r>
      <w:r w:rsidR="0046064C" w:rsidRPr="0046064C">
        <w:rPr>
          <w:rFonts w:ascii="Times New Roman" w:hAnsi="Times New Roman" w:cs="Times New Roman"/>
          <w:b/>
          <w:color w:val="4C7563"/>
        </w:rPr>
        <w:t>20</w:t>
      </w:r>
      <w:r>
        <w:rPr>
          <w:rFonts w:ascii="Times New Roman" w:hAnsi="Times New Roman" w:cs="Times New Roman"/>
          <w:b/>
          <w:color w:val="4C7563"/>
        </w:rPr>
        <w:t>22</w:t>
      </w:r>
    </w:p>
    <w:p w:rsidR="00094BF0" w:rsidRDefault="00094BF0" w:rsidP="00217D39">
      <w:pPr>
        <w:pStyle w:val="Hlavikaobsahu"/>
        <w:jc w:val="left"/>
        <w:rPr>
          <w:rFonts w:ascii="Times New Roman" w:hAnsi="Times New Roman" w:cs="Times New Roman"/>
          <w:szCs w:val="24"/>
        </w:rPr>
      </w:pPr>
    </w:p>
    <w:sdt>
      <w:sdtPr>
        <w:rPr>
          <w:rFonts w:ascii="Times New Roman" w:eastAsiaTheme="minorHAnsi" w:hAnsi="Times New Roman" w:cs="Times New Roman"/>
          <w:b w:val="0"/>
          <w:bCs w:val="0"/>
          <w:sz w:val="22"/>
          <w:szCs w:val="24"/>
          <w:lang w:val="sk-SK"/>
        </w:rPr>
        <w:id w:val="22715307"/>
        <w:docPartObj>
          <w:docPartGallery w:val="Table of Contents"/>
          <w:docPartUnique/>
        </w:docPartObj>
      </w:sdtPr>
      <w:sdtEndPr>
        <w:rPr>
          <w:rFonts w:asciiTheme="minorHAnsi" w:hAnsiTheme="minorHAnsi" w:cstheme="minorBidi"/>
          <w:szCs w:val="22"/>
        </w:rPr>
      </w:sdtEndPr>
      <w:sdtContent>
        <w:p w:rsidR="00217D39" w:rsidRDefault="00217D39" w:rsidP="00217D39">
          <w:pPr>
            <w:pStyle w:val="Hlavikaobsahu"/>
            <w:jc w:val="left"/>
            <w:rPr>
              <w:rFonts w:ascii="Times New Roman" w:hAnsi="Times New Roman" w:cs="Times New Roman"/>
              <w:szCs w:val="24"/>
            </w:rPr>
          </w:pPr>
          <w:r w:rsidRPr="00217D39">
            <w:rPr>
              <w:rFonts w:ascii="Times New Roman" w:hAnsi="Times New Roman" w:cs="Times New Roman"/>
              <w:szCs w:val="24"/>
            </w:rPr>
            <w:t>Contents</w:t>
          </w:r>
        </w:p>
        <w:p w:rsidR="00217D39" w:rsidRDefault="00217D39" w:rsidP="00217D39">
          <w:pPr>
            <w:rPr>
              <w:lang w:val="en-US"/>
            </w:rPr>
          </w:pPr>
        </w:p>
        <w:p w:rsidR="00094BF0" w:rsidRPr="00217D39" w:rsidRDefault="00094BF0" w:rsidP="00217D39">
          <w:pPr>
            <w:rPr>
              <w:lang w:val="en-US"/>
            </w:rPr>
          </w:pPr>
        </w:p>
        <w:p w:rsidR="00217D39" w:rsidRPr="00217D39" w:rsidRDefault="00217D39" w:rsidP="00217D39">
          <w:pPr>
            <w:pStyle w:val="Obsah2"/>
            <w:tabs>
              <w:tab w:val="right" w:leader="dot" w:pos="9062"/>
            </w:tabs>
            <w:rPr>
              <w:rFonts w:ascii="Times New Roman" w:hAnsi="Times New Roman" w:cs="Times New Roman"/>
              <w:noProof/>
              <w:sz w:val="24"/>
              <w:szCs w:val="24"/>
            </w:rPr>
          </w:pPr>
          <w:r w:rsidRPr="00217D39">
            <w:rPr>
              <w:rFonts w:ascii="Times New Roman" w:hAnsi="Times New Roman" w:cs="Times New Roman"/>
              <w:sz w:val="24"/>
              <w:szCs w:val="24"/>
            </w:rPr>
            <w:fldChar w:fldCharType="begin"/>
          </w:r>
          <w:r w:rsidRPr="00217D39">
            <w:rPr>
              <w:rFonts w:ascii="Times New Roman" w:hAnsi="Times New Roman" w:cs="Times New Roman"/>
              <w:sz w:val="24"/>
              <w:szCs w:val="24"/>
            </w:rPr>
            <w:instrText xml:space="preserve"> TOC \o "1-3" \h \z \u </w:instrText>
          </w:r>
          <w:r w:rsidRPr="00217D39">
            <w:rPr>
              <w:rFonts w:ascii="Times New Roman" w:hAnsi="Times New Roman" w:cs="Times New Roman"/>
              <w:sz w:val="24"/>
              <w:szCs w:val="24"/>
            </w:rPr>
            <w:fldChar w:fldCharType="separate"/>
          </w:r>
          <w:hyperlink w:anchor="_Toc62822434" w:history="1">
            <w:r w:rsidRPr="00217D39">
              <w:rPr>
                <w:rStyle w:val="Hypertextovprepojenie"/>
                <w:rFonts w:ascii="Times New Roman" w:hAnsi="Times New Roman" w:cs="Times New Roman"/>
                <w:noProof/>
                <w:sz w:val="24"/>
                <w:szCs w:val="24"/>
              </w:rPr>
              <w:t>DEFINITIONS</w:t>
            </w:r>
            <w:r w:rsidRPr="00217D39">
              <w:rPr>
                <w:rFonts w:ascii="Times New Roman" w:hAnsi="Times New Roman" w:cs="Times New Roman"/>
                <w:noProof/>
                <w:webHidden/>
                <w:sz w:val="24"/>
                <w:szCs w:val="24"/>
              </w:rPr>
              <w:tab/>
            </w:r>
            <w:r w:rsidRPr="00217D39">
              <w:rPr>
                <w:rFonts w:ascii="Times New Roman" w:hAnsi="Times New Roman" w:cs="Times New Roman"/>
                <w:noProof/>
                <w:webHidden/>
                <w:sz w:val="24"/>
                <w:szCs w:val="24"/>
              </w:rPr>
              <w:fldChar w:fldCharType="begin"/>
            </w:r>
            <w:r w:rsidRPr="00217D39">
              <w:rPr>
                <w:rFonts w:ascii="Times New Roman" w:hAnsi="Times New Roman" w:cs="Times New Roman"/>
                <w:noProof/>
                <w:webHidden/>
                <w:sz w:val="24"/>
                <w:szCs w:val="24"/>
              </w:rPr>
              <w:instrText xml:space="preserve"> PAGEREF _Toc62822434 \h </w:instrText>
            </w:r>
            <w:r w:rsidRPr="00217D39">
              <w:rPr>
                <w:rFonts w:ascii="Times New Roman" w:hAnsi="Times New Roman" w:cs="Times New Roman"/>
                <w:noProof/>
                <w:webHidden/>
                <w:sz w:val="24"/>
                <w:szCs w:val="24"/>
              </w:rPr>
            </w:r>
            <w:r w:rsidRPr="00217D39">
              <w:rPr>
                <w:rFonts w:ascii="Times New Roman" w:hAnsi="Times New Roman" w:cs="Times New Roman"/>
                <w:noProof/>
                <w:webHidden/>
                <w:sz w:val="24"/>
                <w:szCs w:val="24"/>
              </w:rPr>
              <w:fldChar w:fldCharType="separate"/>
            </w:r>
            <w:r w:rsidRPr="00217D39">
              <w:rPr>
                <w:rFonts w:ascii="Times New Roman" w:hAnsi="Times New Roman" w:cs="Times New Roman"/>
                <w:noProof/>
                <w:webHidden/>
                <w:sz w:val="24"/>
                <w:szCs w:val="24"/>
              </w:rPr>
              <w:t>3</w:t>
            </w:r>
            <w:r w:rsidRPr="00217D39">
              <w:rPr>
                <w:rFonts w:ascii="Times New Roman" w:hAnsi="Times New Roman" w:cs="Times New Roman"/>
                <w:noProof/>
                <w:webHidden/>
                <w:sz w:val="24"/>
                <w:szCs w:val="24"/>
              </w:rPr>
              <w:fldChar w:fldCharType="end"/>
            </w:r>
          </w:hyperlink>
        </w:p>
        <w:p w:rsidR="00217D39" w:rsidRPr="00217D39" w:rsidRDefault="00BD48D3" w:rsidP="00217D39">
          <w:pPr>
            <w:pStyle w:val="Obsah2"/>
            <w:tabs>
              <w:tab w:val="right" w:leader="dot" w:pos="9062"/>
            </w:tabs>
            <w:rPr>
              <w:rFonts w:ascii="Times New Roman" w:hAnsi="Times New Roman" w:cs="Times New Roman"/>
              <w:noProof/>
              <w:sz w:val="24"/>
              <w:szCs w:val="24"/>
            </w:rPr>
          </w:pPr>
          <w:hyperlink w:anchor="_Toc62822435" w:history="1">
            <w:r w:rsidR="00217D39" w:rsidRPr="00217D39">
              <w:rPr>
                <w:rStyle w:val="Hypertextovprepojenie"/>
                <w:rFonts w:ascii="Times New Roman" w:hAnsi="Times New Roman" w:cs="Times New Roman"/>
                <w:noProof/>
                <w:sz w:val="24"/>
                <w:szCs w:val="24"/>
              </w:rPr>
              <w:t>ABBREVIATIONS</w:t>
            </w:r>
            <w:r w:rsidR="00217D39" w:rsidRPr="00217D39">
              <w:rPr>
                <w:rFonts w:ascii="Times New Roman" w:hAnsi="Times New Roman" w:cs="Times New Roman"/>
                <w:noProof/>
                <w:webHidden/>
                <w:sz w:val="24"/>
                <w:szCs w:val="24"/>
              </w:rPr>
              <w:tab/>
            </w:r>
            <w:r w:rsidR="00217D39" w:rsidRPr="00217D39">
              <w:rPr>
                <w:rFonts w:ascii="Times New Roman" w:hAnsi="Times New Roman" w:cs="Times New Roman"/>
                <w:noProof/>
                <w:webHidden/>
                <w:sz w:val="24"/>
                <w:szCs w:val="24"/>
              </w:rPr>
              <w:fldChar w:fldCharType="begin"/>
            </w:r>
            <w:r w:rsidR="00217D39" w:rsidRPr="00217D39">
              <w:rPr>
                <w:rFonts w:ascii="Times New Roman" w:hAnsi="Times New Roman" w:cs="Times New Roman"/>
                <w:noProof/>
                <w:webHidden/>
                <w:sz w:val="24"/>
                <w:szCs w:val="24"/>
              </w:rPr>
              <w:instrText xml:space="preserve"> PAGEREF _Toc62822435 \h </w:instrText>
            </w:r>
            <w:r w:rsidR="00217D39" w:rsidRPr="00217D39">
              <w:rPr>
                <w:rFonts w:ascii="Times New Roman" w:hAnsi="Times New Roman" w:cs="Times New Roman"/>
                <w:noProof/>
                <w:webHidden/>
                <w:sz w:val="24"/>
                <w:szCs w:val="24"/>
              </w:rPr>
            </w:r>
            <w:r w:rsidR="00217D39" w:rsidRPr="00217D39">
              <w:rPr>
                <w:rFonts w:ascii="Times New Roman" w:hAnsi="Times New Roman" w:cs="Times New Roman"/>
                <w:noProof/>
                <w:webHidden/>
                <w:sz w:val="24"/>
                <w:szCs w:val="24"/>
              </w:rPr>
              <w:fldChar w:fldCharType="separate"/>
            </w:r>
            <w:r w:rsidR="00217D39" w:rsidRPr="00217D39">
              <w:rPr>
                <w:rFonts w:ascii="Times New Roman" w:hAnsi="Times New Roman" w:cs="Times New Roman"/>
                <w:noProof/>
                <w:webHidden/>
                <w:sz w:val="24"/>
                <w:szCs w:val="24"/>
              </w:rPr>
              <w:t>4</w:t>
            </w:r>
            <w:r w:rsidR="00217D39" w:rsidRPr="00217D39">
              <w:rPr>
                <w:rFonts w:ascii="Times New Roman" w:hAnsi="Times New Roman" w:cs="Times New Roman"/>
                <w:noProof/>
                <w:webHidden/>
                <w:sz w:val="24"/>
                <w:szCs w:val="24"/>
              </w:rPr>
              <w:fldChar w:fldCharType="end"/>
            </w:r>
          </w:hyperlink>
        </w:p>
        <w:p w:rsidR="00217D39" w:rsidRPr="00217D39" w:rsidRDefault="00BD48D3" w:rsidP="00217D39">
          <w:pPr>
            <w:pStyle w:val="Obsah1"/>
            <w:tabs>
              <w:tab w:val="right" w:leader="dot" w:pos="9062"/>
            </w:tabs>
            <w:ind w:left="220"/>
            <w:rPr>
              <w:rFonts w:ascii="Times New Roman" w:hAnsi="Times New Roman" w:cs="Times New Roman"/>
              <w:noProof/>
              <w:sz w:val="24"/>
              <w:szCs w:val="24"/>
            </w:rPr>
          </w:pPr>
          <w:hyperlink w:anchor="_Toc62822436" w:history="1">
            <w:r w:rsidR="00217D39" w:rsidRPr="00217D39">
              <w:rPr>
                <w:rStyle w:val="Hypertextovprepojenie"/>
                <w:rFonts w:ascii="Times New Roman" w:hAnsi="Times New Roman" w:cs="Times New Roman"/>
                <w:noProof/>
                <w:sz w:val="24"/>
                <w:szCs w:val="24"/>
              </w:rPr>
              <w:t>Article I</w:t>
            </w:r>
            <w:r w:rsidR="00217D39" w:rsidRPr="00217D39">
              <w:rPr>
                <w:rFonts w:ascii="Times New Roman" w:hAnsi="Times New Roman" w:cs="Times New Roman"/>
                <w:noProof/>
                <w:webHidden/>
                <w:sz w:val="24"/>
                <w:szCs w:val="24"/>
              </w:rPr>
              <w:tab/>
            </w:r>
            <w:r w:rsidR="00217D39" w:rsidRPr="00217D39">
              <w:rPr>
                <w:rFonts w:ascii="Times New Roman" w:hAnsi="Times New Roman" w:cs="Times New Roman"/>
                <w:noProof/>
                <w:webHidden/>
                <w:sz w:val="24"/>
                <w:szCs w:val="24"/>
              </w:rPr>
              <w:fldChar w:fldCharType="begin"/>
            </w:r>
            <w:r w:rsidR="00217D39" w:rsidRPr="00217D39">
              <w:rPr>
                <w:rFonts w:ascii="Times New Roman" w:hAnsi="Times New Roman" w:cs="Times New Roman"/>
                <w:noProof/>
                <w:webHidden/>
                <w:sz w:val="24"/>
                <w:szCs w:val="24"/>
              </w:rPr>
              <w:instrText xml:space="preserve"> PAGEREF _Toc62822436 \h </w:instrText>
            </w:r>
            <w:r w:rsidR="00217D39" w:rsidRPr="00217D39">
              <w:rPr>
                <w:rFonts w:ascii="Times New Roman" w:hAnsi="Times New Roman" w:cs="Times New Roman"/>
                <w:noProof/>
                <w:webHidden/>
                <w:sz w:val="24"/>
                <w:szCs w:val="24"/>
              </w:rPr>
            </w:r>
            <w:r w:rsidR="00217D39" w:rsidRPr="00217D39">
              <w:rPr>
                <w:rFonts w:ascii="Times New Roman" w:hAnsi="Times New Roman" w:cs="Times New Roman"/>
                <w:noProof/>
                <w:webHidden/>
                <w:sz w:val="24"/>
                <w:szCs w:val="24"/>
              </w:rPr>
              <w:fldChar w:fldCharType="separate"/>
            </w:r>
            <w:r w:rsidR="00217D39" w:rsidRPr="00217D39">
              <w:rPr>
                <w:rFonts w:ascii="Times New Roman" w:hAnsi="Times New Roman" w:cs="Times New Roman"/>
                <w:noProof/>
                <w:webHidden/>
                <w:sz w:val="24"/>
                <w:szCs w:val="24"/>
              </w:rPr>
              <w:t>5</w:t>
            </w:r>
            <w:r w:rsidR="00217D39" w:rsidRPr="00217D39">
              <w:rPr>
                <w:rFonts w:ascii="Times New Roman" w:hAnsi="Times New Roman" w:cs="Times New Roman"/>
                <w:noProof/>
                <w:webHidden/>
                <w:sz w:val="24"/>
                <w:szCs w:val="24"/>
              </w:rPr>
              <w:fldChar w:fldCharType="end"/>
            </w:r>
          </w:hyperlink>
        </w:p>
        <w:p w:rsidR="00217D39" w:rsidRPr="00217D39" w:rsidRDefault="00BD48D3" w:rsidP="00217D39">
          <w:pPr>
            <w:pStyle w:val="Obsah2"/>
            <w:tabs>
              <w:tab w:val="right" w:leader="dot" w:pos="9062"/>
            </w:tabs>
            <w:rPr>
              <w:rFonts w:ascii="Times New Roman" w:hAnsi="Times New Roman" w:cs="Times New Roman"/>
              <w:noProof/>
              <w:sz w:val="24"/>
              <w:szCs w:val="24"/>
            </w:rPr>
          </w:pPr>
          <w:hyperlink w:anchor="_Toc62822437" w:history="1">
            <w:r w:rsidR="00217D39" w:rsidRPr="00217D39">
              <w:rPr>
                <w:rStyle w:val="Hypertextovprepojenie"/>
                <w:rFonts w:ascii="Times New Roman" w:hAnsi="Times New Roman" w:cs="Times New Roman"/>
                <w:noProof/>
                <w:sz w:val="24"/>
                <w:szCs w:val="24"/>
              </w:rPr>
              <w:t>Introductory provisions</w:t>
            </w:r>
            <w:r w:rsidR="00217D39" w:rsidRPr="00217D39">
              <w:rPr>
                <w:rFonts w:ascii="Times New Roman" w:hAnsi="Times New Roman" w:cs="Times New Roman"/>
                <w:noProof/>
                <w:webHidden/>
                <w:sz w:val="24"/>
                <w:szCs w:val="24"/>
              </w:rPr>
              <w:tab/>
            </w:r>
            <w:r w:rsidR="00217D39" w:rsidRPr="00217D39">
              <w:rPr>
                <w:rFonts w:ascii="Times New Roman" w:hAnsi="Times New Roman" w:cs="Times New Roman"/>
                <w:noProof/>
                <w:webHidden/>
                <w:sz w:val="24"/>
                <w:szCs w:val="24"/>
              </w:rPr>
              <w:fldChar w:fldCharType="begin"/>
            </w:r>
            <w:r w:rsidR="00217D39" w:rsidRPr="00217D39">
              <w:rPr>
                <w:rFonts w:ascii="Times New Roman" w:hAnsi="Times New Roman" w:cs="Times New Roman"/>
                <w:noProof/>
                <w:webHidden/>
                <w:sz w:val="24"/>
                <w:szCs w:val="24"/>
              </w:rPr>
              <w:instrText xml:space="preserve"> PAGEREF _Toc62822437 \h </w:instrText>
            </w:r>
            <w:r w:rsidR="00217D39" w:rsidRPr="00217D39">
              <w:rPr>
                <w:rFonts w:ascii="Times New Roman" w:hAnsi="Times New Roman" w:cs="Times New Roman"/>
                <w:noProof/>
                <w:webHidden/>
                <w:sz w:val="24"/>
                <w:szCs w:val="24"/>
              </w:rPr>
            </w:r>
            <w:r w:rsidR="00217D39" w:rsidRPr="00217D39">
              <w:rPr>
                <w:rFonts w:ascii="Times New Roman" w:hAnsi="Times New Roman" w:cs="Times New Roman"/>
                <w:noProof/>
                <w:webHidden/>
                <w:sz w:val="24"/>
                <w:szCs w:val="24"/>
              </w:rPr>
              <w:fldChar w:fldCharType="separate"/>
            </w:r>
            <w:r w:rsidR="00217D39" w:rsidRPr="00217D39">
              <w:rPr>
                <w:rFonts w:ascii="Times New Roman" w:hAnsi="Times New Roman" w:cs="Times New Roman"/>
                <w:noProof/>
                <w:webHidden/>
                <w:sz w:val="24"/>
                <w:szCs w:val="24"/>
              </w:rPr>
              <w:t>5</w:t>
            </w:r>
            <w:r w:rsidR="00217D39" w:rsidRPr="00217D39">
              <w:rPr>
                <w:rFonts w:ascii="Times New Roman" w:hAnsi="Times New Roman" w:cs="Times New Roman"/>
                <w:noProof/>
                <w:webHidden/>
                <w:sz w:val="24"/>
                <w:szCs w:val="24"/>
              </w:rPr>
              <w:fldChar w:fldCharType="end"/>
            </w:r>
          </w:hyperlink>
        </w:p>
        <w:p w:rsidR="00217D39" w:rsidRPr="00217D39" w:rsidRDefault="00BD48D3" w:rsidP="00217D39">
          <w:pPr>
            <w:pStyle w:val="Obsah1"/>
            <w:tabs>
              <w:tab w:val="right" w:leader="dot" w:pos="9062"/>
            </w:tabs>
            <w:ind w:left="220"/>
            <w:rPr>
              <w:rFonts w:ascii="Times New Roman" w:hAnsi="Times New Roman" w:cs="Times New Roman"/>
              <w:noProof/>
              <w:sz w:val="24"/>
              <w:szCs w:val="24"/>
            </w:rPr>
          </w:pPr>
          <w:hyperlink w:anchor="_Toc62822438" w:history="1">
            <w:r w:rsidR="00217D39" w:rsidRPr="00217D39">
              <w:rPr>
                <w:rStyle w:val="Hypertextovprepojenie"/>
                <w:rFonts w:ascii="Times New Roman" w:hAnsi="Times New Roman" w:cs="Times New Roman"/>
                <w:noProof/>
                <w:sz w:val="24"/>
                <w:szCs w:val="24"/>
              </w:rPr>
              <w:t>Article II</w:t>
            </w:r>
            <w:r w:rsidR="00217D39" w:rsidRPr="00217D39">
              <w:rPr>
                <w:rFonts w:ascii="Times New Roman" w:hAnsi="Times New Roman" w:cs="Times New Roman"/>
                <w:noProof/>
                <w:webHidden/>
                <w:sz w:val="24"/>
                <w:szCs w:val="24"/>
              </w:rPr>
              <w:tab/>
            </w:r>
            <w:r w:rsidR="00217D39" w:rsidRPr="00217D39">
              <w:rPr>
                <w:rFonts w:ascii="Times New Roman" w:hAnsi="Times New Roman" w:cs="Times New Roman"/>
                <w:noProof/>
                <w:webHidden/>
                <w:sz w:val="24"/>
                <w:szCs w:val="24"/>
              </w:rPr>
              <w:fldChar w:fldCharType="begin"/>
            </w:r>
            <w:r w:rsidR="00217D39" w:rsidRPr="00217D39">
              <w:rPr>
                <w:rFonts w:ascii="Times New Roman" w:hAnsi="Times New Roman" w:cs="Times New Roman"/>
                <w:noProof/>
                <w:webHidden/>
                <w:sz w:val="24"/>
                <w:szCs w:val="24"/>
              </w:rPr>
              <w:instrText xml:space="preserve"> PAGEREF _Toc62822438 \h </w:instrText>
            </w:r>
            <w:r w:rsidR="00217D39" w:rsidRPr="00217D39">
              <w:rPr>
                <w:rFonts w:ascii="Times New Roman" w:hAnsi="Times New Roman" w:cs="Times New Roman"/>
                <w:noProof/>
                <w:webHidden/>
                <w:sz w:val="24"/>
                <w:szCs w:val="24"/>
              </w:rPr>
            </w:r>
            <w:r w:rsidR="00217D39" w:rsidRPr="00217D39">
              <w:rPr>
                <w:rFonts w:ascii="Times New Roman" w:hAnsi="Times New Roman" w:cs="Times New Roman"/>
                <w:noProof/>
                <w:webHidden/>
                <w:sz w:val="24"/>
                <w:szCs w:val="24"/>
              </w:rPr>
              <w:fldChar w:fldCharType="separate"/>
            </w:r>
            <w:r w:rsidR="00217D39" w:rsidRPr="00217D39">
              <w:rPr>
                <w:rFonts w:ascii="Times New Roman" w:hAnsi="Times New Roman" w:cs="Times New Roman"/>
                <w:noProof/>
                <w:webHidden/>
                <w:sz w:val="24"/>
                <w:szCs w:val="24"/>
              </w:rPr>
              <w:t>5</w:t>
            </w:r>
            <w:r w:rsidR="00217D39" w:rsidRPr="00217D39">
              <w:rPr>
                <w:rFonts w:ascii="Times New Roman" w:hAnsi="Times New Roman" w:cs="Times New Roman"/>
                <w:noProof/>
                <w:webHidden/>
                <w:sz w:val="24"/>
                <w:szCs w:val="24"/>
              </w:rPr>
              <w:fldChar w:fldCharType="end"/>
            </w:r>
          </w:hyperlink>
        </w:p>
        <w:p w:rsidR="00217D39" w:rsidRPr="00217D39" w:rsidRDefault="00BD48D3" w:rsidP="00217D39">
          <w:pPr>
            <w:pStyle w:val="Obsah2"/>
            <w:tabs>
              <w:tab w:val="right" w:leader="dot" w:pos="9062"/>
            </w:tabs>
            <w:rPr>
              <w:rFonts w:ascii="Times New Roman" w:hAnsi="Times New Roman" w:cs="Times New Roman"/>
              <w:noProof/>
              <w:sz w:val="24"/>
              <w:szCs w:val="24"/>
            </w:rPr>
          </w:pPr>
          <w:hyperlink w:anchor="_Toc62822439" w:history="1">
            <w:r w:rsidR="00217D39" w:rsidRPr="00217D39">
              <w:rPr>
                <w:rStyle w:val="Hypertextovprepojenie"/>
                <w:rFonts w:ascii="Times New Roman" w:hAnsi="Times New Roman" w:cs="Times New Roman"/>
                <w:noProof/>
                <w:sz w:val="24"/>
                <w:szCs w:val="24"/>
              </w:rPr>
              <w:t>Definition of conflict of interests</w:t>
            </w:r>
            <w:r w:rsidR="00217D39" w:rsidRPr="00217D39">
              <w:rPr>
                <w:rFonts w:ascii="Times New Roman" w:hAnsi="Times New Roman" w:cs="Times New Roman"/>
                <w:noProof/>
                <w:webHidden/>
                <w:sz w:val="24"/>
                <w:szCs w:val="24"/>
              </w:rPr>
              <w:tab/>
            </w:r>
            <w:r w:rsidR="00217D39" w:rsidRPr="00217D39">
              <w:rPr>
                <w:rFonts w:ascii="Times New Roman" w:hAnsi="Times New Roman" w:cs="Times New Roman"/>
                <w:noProof/>
                <w:webHidden/>
                <w:sz w:val="24"/>
                <w:szCs w:val="24"/>
              </w:rPr>
              <w:fldChar w:fldCharType="begin"/>
            </w:r>
            <w:r w:rsidR="00217D39" w:rsidRPr="00217D39">
              <w:rPr>
                <w:rFonts w:ascii="Times New Roman" w:hAnsi="Times New Roman" w:cs="Times New Roman"/>
                <w:noProof/>
                <w:webHidden/>
                <w:sz w:val="24"/>
                <w:szCs w:val="24"/>
              </w:rPr>
              <w:instrText xml:space="preserve"> PAGEREF _Toc62822439 \h </w:instrText>
            </w:r>
            <w:r w:rsidR="00217D39" w:rsidRPr="00217D39">
              <w:rPr>
                <w:rFonts w:ascii="Times New Roman" w:hAnsi="Times New Roman" w:cs="Times New Roman"/>
                <w:noProof/>
                <w:webHidden/>
                <w:sz w:val="24"/>
                <w:szCs w:val="24"/>
              </w:rPr>
            </w:r>
            <w:r w:rsidR="00217D39" w:rsidRPr="00217D39">
              <w:rPr>
                <w:rFonts w:ascii="Times New Roman" w:hAnsi="Times New Roman" w:cs="Times New Roman"/>
                <w:noProof/>
                <w:webHidden/>
                <w:sz w:val="24"/>
                <w:szCs w:val="24"/>
              </w:rPr>
              <w:fldChar w:fldCharType="separate"/>
            </w:r>
            <w:r w:rsidR="00217D39" w:rsidRPr="00217D39">
              <w:rPr>
                <w:rFonts w:ascii="Times New Roman" w:hAnsi="Times New Roman" w:cs="Times New Roman"/>
                <w:noProof/>
                <w:webHidden/>
                <w:sz w:val="24"/>
                <w:szCs w:val="24"/>
              </w:rPr>
              <w:t>5</w:t>
            </w:r>
            <w:r w:rsidR="00217D39" w:rsidRPr="00217D39">
              <w:rPr>
                <w:rFonts w:ascii="Times New Roman" w:hAnsi="Times New Roman" w:cs="Times New Roman"/>
                <w:noProof/>
                <w:webHidden/>
                <w:sz w:val="24"/>
                <w:szCs w:val="24"/>
              </w:rPr>
              <w:fldChar w:fldCharType="end"/>
            </w:r>
          </w:hyperlink>
        </w:p>
        <w:p w:rsidR="00217D39" w:rsidRPr="00217D39" w:rsidRDefault="00BD48D3" w:rsidP="00217D39">
          <w:pPr>
            <w:pStyle w:val="Obsah1"/>
            <w:tabs>
              <w:tab w:val="right" w:leader="dot" w:pos="9062"/>
            </w:tabs>
            <w:ind w:left="220"/>
            <w:rPr>
              <w:rFonts w:ascii="Times New Roman" w:hAnsi="Times New Roman" w:cs="Times New Roman"/>
              <w:noProof/>
              <w:sz w:val="24"/>
              <w:szCs w:val="24"/>
            </w:rPr>
          </w:pPr>
          <w:hyperlink w:anchor="_Toc62822440" w:history="1">
            <w:r w:rsidR="00217D39" w:rsidRPr="00217D39">
              <w:rPr>
                <w:rStyle w:val="Hypertextovprepojenie"/>
                <w:rFonts w:ascii="Times New Roman" w:hAnsi="Times New Roman" w:cs="Times New Roman"/>
                <w:noProof/>
                <w:sz w:val="24"/>
                <w:szCs w:val="24"/>
              </w:rPr>
              <w:t>Article III</w:t>
            </w:r>
            <w:r w:rsidR="00217D39" w:rsidRPr="00217D39">
              <w:rPr>
                <w:rFonts w:ascii="Times New Roman" w:hAnsi="Times New Roman" w:cs="Times New Roman"/>
                <w:noProof/>
                <w:webHidden/>
                <w:sz w:val="24"/>
                <w:szCs w:val="24"/>
              </w:rPr>
              <w:tab/>
            </w:r>
            <w:r w:rsidR="00217D39" w:rsidRPr="00217D39">
              <w:rPr>
                <w:rFonts w:ascii="Times New Roman" w:hAnsi="Times New Roman" w:cs="Times New Roman"/>
                <w:noProof/>
                <w:webHidden/>
                <w:sz w:val="24"/>
                <w:szCs w:val="24"/>
              </w:rPr>
              <w:fldChar w:fldCharType="begin"/>
            </w:r>
            <w:r w:rsidR="00217D39" w:rsidRPr="00217D39">
              <w:rPr>
                <w:rFonts w:ascii="Times New Roman" w:hAnsi="Times New Roman" w:cs="Times New Roman"/>
                <w:noProof/>
                <w:webHidden/>
                <w:sz w:val="24"/>
                <w:szCs w:val="24"/>
              </w:rPr>
              <w:instrText xml:space="preserve"> PAGEREF _Toc62822440 \h </w:instrText>
            </w:r>
            <w:r w:rsidR="00217D39" w:rsidRPr="00217D39">
              <w:rPr>
                <w:rFonts w:ascii="Times New Roman" w:hAnsi="Times New Roman" w:cs="Times New Roman"/>
                <w:noProof/>
                <w:webHidden/>
                <w:sz w:val="24"/>
                <w:szCs w:val="24"/>
              </w:rPr>
            </w:r>
            <w:r w:rsidR="00217D39" w:rsidRPr="00217D39">
              <w:rPr>
                <w:rFonts w:ascii="Times New Roman" w:hAnsi="Times New Roman" w:cs="Times New Roman"/>
                <w:noProof/>
                <w:webHidden/>
                <w:sz w:val="24"/>
                <w:szCs w:val="24"/>
              </w:rPr>
              <w:fldChar w:fldCharType="separate"/>
            </w:r>
            <w:r w:rsidR="00217D39" w:rsidRPr="00217D39">
              <w:rPr>
                <w:rFonts w:ascii="Times New Roman" w:hAnsi="Times New Roman" w:cs="Times New Roman"/>
                <w:noProof/>
                <w:webHidden/>
                <w:sz w:val="24"/>
                <w:szCs w:val="24"/>
              </w:rPr>
              <w:t>5</w:t>
            </w:r>
            <w:r w:rsidR="00217D39" w:rsidRPr="00217D39">
              <w:rPr>
                <w:rFonts w:ascii="Times New Roman" w:hAnsi="Times New Roman" w:cs="Times New Roman"/>
                <w:noProof/>
                <w:webHidden/>
                <w:sz w:val="24"/>
                <w:szCs w:val="24"/>
              </w:rPr>
              <w:fldChar w:fldCharType="end"/>
            </w:r>
          </w:hyperlink>
        </w:p>
        <w:p w:rsidR="00217D39" w:rsidRPr="00217D39" w:rsidRDefault="00BD48D3" w:rsidP="00217D39">
          <w:pPr>
            <w:pStyle w:val="Obsah2"/>
            <w:tabs>
              <w:tab w:val="right" w:leader="dot" w:pos="9062"/>
            </w:tabs>
            <w:rPr>
              <w:rFonts w:ascii="Times New Roman" w:hAnsi="Times New Roman" w:cs="Times New Roman"/>
              <w:noProof/>
              <w:sz w:val="24"/>
              <w:szCs w:val="24"/>
            </w:rPr>
          </w:pPr>
          <w:hyperlink w:anchor="_Toc62822441" w:history="1">
            <w:r w:rsidR="00217D39" w:rsidRPr="00217D39">
              <w:rPr>
                <w:rStyle w:val="Hypertextovprepojenie"/>
                <w:rFonts w:ascii="Times New Roman" w:hAnsi="Times New Roman" w:cs="Times New Roman"/>
                <w:noProof/>
                <w:sz w:val="24"/>
                <w:szCs w:val="24"/>
              </w:rPr>
              <w:t>Principles and measures preventing conflict of interests</w:t>
            </w:r>
            <w:r w:rsidR="00217D39" w:rsidRPr="00217D39">
              <w:rPr>
                <w:rFonts w:ascii="Times New Roman" w:hAnsi="Times New Roman" w:cs="Times New Roman"/>
                <w:noProof/>
                <w:webHidden/>
                <w:sz w:val="24"/>
                <w:szCs w:val="24"/>
              </w:rPr>
              <w:tab/>
            </w:r>
            <w:r w:rsidR="00217D39" w:rsidRPr="00217D39">
              <w:rPr>
                <w:rFonts w:ascii="Times New Roman" w:hAnsi="Times New Roman" w:cs="Times New Roman"/>
                <w:noProof/>
                <w:webHidden/>
                <w:sz w:val="24"/>
                <w:szCs w:val="24"/>
              </w:rPr>
              <w:fldChar w:fldCharType="begin"/>
            </w:r>
            <w:r w:rsidR="00217D39" w:rsidRPr="00217D39">
              <w:rPr>
                <w:rFonts w:ascii="Times New Roman" w:hAnsi="Times New Roman" w:cs="Times New Roman"/>
                <w:noProof/>
                <w:webHidden/>
                <w:sz w:val="24"/>
                <w:szCs w:val="24"/>
              </w:rPr>
              <w:instrText xml:space="preserve"> PAGEREF _Toc62822441 \h </w:instrText>
            </w:r>
            <w:r w:rsidR="00217D39" w:rsidRPr="00217D39">
              <w:rPr>
                <w:rFonts w:ascii="Times New Roman" w:hAnsi="Times New Roman" w:cs="Times New Roman"/>
                <w:noProof/>
                <w:webHidden/>
                <w:sz w:val="24"/>
                <w:szCs w:val="24"/>
              </w:rPr>
            </w:r>
            <w:r w:rsidR="00217D39" w:rsidRPr="00217D39">
              <w:rPr>
                <w:rFonts w:ascii="Times New Roman" w:hAnsi="Times New Roman" w:cs="Times New Roman"/>
                <w:noProof/>
                <w:webHidden/>
                <w:sz w:val="24"/>
                <w:szCs w:val="24"/>
              </w:rPr>
              <w:fldChar w:fldCharType="separate"/>
            </w:r>
            <w:r w:rsidR="00217D39" w:rsidRPr="00217D39">
              <w:rPr>
                <w:rFonts w:ascii="Times New Roman" w:hAnsi="Times New Roman" w:cs="Times New Roman"/>
                <w:noProof/>
                <w:webHidden/>
                <w:sz w:val="24"/>
                <w:szCs w:val="24"/>
              </w:rPr>
              <w:t>5</w:t>
            </w:r>
            <w:r w:rsidR="00217D39" w:rsidRPr="00217D39">
              <w:rPr>
                <w:rFonts w:ascii="Times New Roman" w:hAnsi="Times New Roman" w:cs="Times New Roman"/>
                <w:noProof/>
                <w:webHidden/>
                <w:sz w:val="24"/>
                <w:szCs w:val="24"/>
              </w:rPr>
              <w:fldChar w:fldCharType="end"/>
            </w:r>
          </w:hyperlink>
        </w:p>
        <w:p w:rsidR="00217D39" w:rsidRPr="00217D39" w:rsidRDefault="00BD48D3" w:rsidP="00217D39">
          <w:pPr>
            <w:pStyle w:val="Obsah1"/>
            <w:tabs>
              <w:tab w:val="right" w:leader="dot" w:pos="9062"/>
            </w:tabs>
            <w:ind w:left="220"/>
            <w:rPr>
              <w:rFonts w:ascii="Times New Roman" w:hAnsi="Times New Roman" w:cs="Times New Roman"/>
              <w:noProof/>
              <w:sz w:val="24"/>
              <w:szCs w:val="24"/>
            </w:rPr>
          </w:pPr>
          <w:hyperlink w:anchor="_Toc62822442" w:history="1">
            <w:r w:rsidR="00217D39" w:rsidRPr="00217D39">
              <w:rPr>
                <w:rStyle w:val="Hypertextovprepojenie"/>
                <w:rFonts w:ascii="Times New Roman" w:hAnsi="Times New Roman" w:cs="Times New Roman"/>
                <w:noProof/>
                <w:sz w:val="24"/>
                <w:szCs w:val="24"/>
              </w:rPr>
              <w:t>Article IV</w:t>
            </w:r>
            <w:r w:rsidR="00217D39" w:rsidRPr="00217D39">
              <w:rPr>
                <w:rFonts w:ascii="Times New Roman" w:hAnsi="Times New Roman" w:cs="Times New Roman"/>
                <w:noProof/>
                <w:webHidden/>
                <w:sz w:val="24"/>
                <w:szCs w:val="24"/>
              </w:rPr>
              <w:tab/>
            </w:r>
            <w:r w:rsidR="00217D39" w:rsidRPr="00217D39">
              <w:rPr>
                <w:rFonts w:ascii="Times New Roman" w:hAnsi="Times New Roman" w:cs="Times New Roman"/>
                <w:noProof/>
                <w:webHidden/>
                <w:sz w:val="24"/>
                <w:szCs w:val="24"/>
              </w:rPr>
              <w:fldChar w:fldCharType="begin"/>
            </w:r>
            <w:r w:rsidR="00217D39" w:rsidRPr="00217D39">
              <w:rPr>
                <w:rFonts w:ascii="Times New Roman" w:hAnsi="Times New Roman" w:cs="Times New Roman"/>
                <w:noProof/>
                <w:webHidden/>
                <w:sz w:val="24"/>
                <w:szCs w:val="24"/>
              </w:rPr>
              <w:instrText xml:space="preserve"> PAGEREF _Toc62822442 \h </w:instrText>
            </w:r>
            <w:r w:rsidR="00217D39" w:rsidRPr="00217D39">
              <w:rPr>
                <w:rFonts w:ascii="Times New Roman" w:hAnsi="Times New Roman" w:cs="Times New Roman"/>
                <w:noProof/>
                <w:webHidden/>
                <w:sz w:val="24"/>
                <w:szCs w:val="24"/>
              </w:rPr>
            </w:r>
            <w:r w:rsidR="00217D39" w:rsidRPr="00217D39">
              <w:rPr>
                <w:rFonts w:ascii="Times New Roman" w:hAnsi="Times New Roman" w:cs="Times New Roman"/>
                <w:noProof/>
                <w:webHidden/>
                <w:sz w:val="24"/>
                <w:szCs w:val="24"/>
              </w:rPr>
              <w:fldChar w:fldCharType="separate"/>
            </w:r>
            <w:r w:rsidR="00217D39" w:rsidRPr="00217D39">
              <w:rPr>
                <w:rFonts w:ascii="Times New Roman" w:hAnsi="Times New Roman" w:cs="Times New Roman"/>
                <w:noProof/>
                <w:webHidden/>
                <w:sz w:val="24"/>
                <w:szCs w:val="24"/>
              </w:rPr>
              <w:t>6</w:t>
            </w:r>
            <w:r w:rsidR="00217D39" w:rsidRPr="00217D39">
              <w:rPr>
                <w:rFonts w:ascii="Times New Roman" w:hAnsi="Times New Roman" w:cs="Times New Roman"/>
                <w:noProof/>
                <w:webHidden/>
                <w:sz w:val="24"/>
                <w:szCs w:val="24"/>
              </w:rPr>
              <w:fldChar w:fldCharType="end"/>
            </w:r>
          </w:hyperlink>
        </w:p>
        <w:p w:rsidR="00217D39" w:rsidRPr="00217D39" w:rsidRDefault="00BD48D3" w:rsidP="00217D39">
          <w:pPr>
            <w:pStyle w:val="Obsah2"/>
            <w:tabs>
              <w:tab w:val="right" w:leader="dot" w:pos="9062"/>
            </w:tabs>
            <w:rPr>
              <w:rFonts w:ascii="Times New Roman" w:hAnsi="Times New Roman" w:cs="Times New Roman"/>
              <w:noProof/>
              <w:sz w:val="24"/>
              <w:szCs w:val="24"/>
            </w:rPr>
          </w:pPr>
          <w:hyperlink w:anchor="_Toc62822443" w:history="1">
            <w:r w:rsidR="00217D39" w:rsidRPr="00217D39">
              <w:rPr>
                <w:rStyle w:val="Hypertextovprepojenie"/>
                <w:rFonts w:ascii="Times New Roman" w:hAnsi="Times New Roman" w:cs="Times New Roman"/>
                <w:noProof/>
                <w:sz w:val="24"/>
                <w:szCs w:val="24"/>
              </w:rPr>
              <w:t>Possible parties to conflict of interests</w:t>
            </w:r>
            <w:r w:rsidR="00217D39" w:rsidRPr="00217D39">
              <w:rPr>
                <w:rFonts w:ascii="Times New Roman" w:hAnsi="Times New Roman" w:cs="Times New Roman"/>
                <w:noProof/>
                <w:webHidden/>
                <w:sz w:val="24"/>
                <w:szCs w:val="24"/>
              </w:rPr>
              <w:tab/>
            </w:r>
            <w:r w:rsidR="00217D39" w:rsidRPr="00217D39">
              <w:rPr>
                <w:rFonts w:ascii="Times New Roman" w:hAnsi="Times New Roman" w:cs="Times New Roman"/>
                <w:noProof/>
                <w:webHidden/>
                <w:sz w:val="24"/>
                <w:szCs w:val="24"/>
              </w:rPr>
              <w:fldChar w:fldCharType="begin"/>
            </w:r>
            <w:r w:rsidR="00217D39" w:rsidRPr="00217D39">
              <w:rPr>
                <w:rFonts w:ascii="Times New Roman" w:hAnsi="Times New Roman" w:cs="Times New Roman"/>
                <w:noProof/>
                <w:webHidden/>
                <w:sz w:val="24"/>
                <w:szCs w:val="24"/>
              </w:rPr>
              <w:instrText xml:space="preserve"> PAGEREF _Toc62822443 \h </w:instrText>
            </w:r>
            <w:r w:rsidR="00217D39" w:rsidRPr="00217D39">
              <w:rPr>
                <w:rFonts w:ascii="Times New Roman" w:hAnsi="Times New Roman" w:cs="Times New Roman"/>
                <w:noProof/>
                <w:webHidden/>
                <w:sz w:val="24"/>
                <w:szCs w:val="24"/>
              </w:rPr>
            </w:r>
            <w:r w:rsidR="00217D39" w:rsidRPr="00217D39">
              <w:rPr>
                <w:rFonts w:ascii="Times New Roman" w:hAnsi="Times New Roman" w:cs="Times New Roman"/>
                <w:noProof/>
                <w:webHidden/>
                <w:sz w:val="24"/>
                <w:szCs w:val="24"/>
              </w:rPr>
              <w:fldChar w:fldCharType="separate"/>
            </w:r>
            <w:r w:rsidR="00217D39" w:rsidRPr="00217D39">
              <w:rPr>
                <w:rFonts w:ascii="Times New Roman" w:hAnsi="Times New Roman" w:cs="Times New Roman"/>
                <w:noProof/>
                <w:webHidden/>
                <w:sz w:val="24"/>
                <w:szCs w:val="24"/>
              </w:rPr>
              <w:t>6</w:t>
            </w:r>
            <w:r w:rsidR="00217D39" w:rsidRPr="00217D39">
              <w:rPr>
                <w:rFonts w:ascii="Times New Roman" w:hAnsi="Times New Roman" w:cs="Times New Roman"/>
                <w:noProof/>
                <w:webHidden/>
                <w:sz w:val="24"/>
                <w:szCs w:val="24"/>
              </w:rPr>
              <w:fldChar w:fldCharType="end"/>
            </w:r>
          </w:hyperlink>
        </w:p>
        <w:p w:rsidR="00217D39" w:rsidRPr="00217D39" w:rsidRDefault="00BD48D3" w:rsidP="00217D39">
          <w:pPr>
            <w:pStyle w:val="Obsah1"/>
            <w:tabs>
              <w:tab w:val="right" w:leader="dot" w:pos="9062"/>
            </w:tabs>
            <w:ind w:left="220"/>
            <w:rPr>
              <w:rFonts w:ascii="Times New Roman" w:hAnsi="Times New Roman" w:cs="Times New Roman"/>
              <w:noProof/>
              <w:sz w:val="24"/>
              <w:szCs w:val="24"/>
            </w:rPr>
          </w:pPr>
          <w:hyperlink w:anchor="_Toc62822444" w:history="1">
            <w:r w:rsidR="00217D39" w:rsidRPr="00217D39">
              <w:rPr>
                <w:rStyle w:val="Hypertextovprepojenie"/>
                <w:rFonts w:ascii="Times New Roman" w:hAnsi="Times New Roman" w:cs="Times New Roman"/>
                <w:noProof/>
                <w:sz w:val="24"/>
                <w:szCs w:val="24"/>
              </w:rPr>
              <w:t>Article V</w:t>
            </w:r>
            <w:r w:rsidR="00217D39" w:rsidRPr="00217D39">
              <w:rPr>
                <w:rFonts w:ascii="Times New Roman" w:hAnsi="Times New Roman" w:cs="Times New Roman"/>
                <w:noProof/>
                <w:webHidden/>
                <w:sz w:val="24"/>
                <w:szCs w:val="24"/>
              </w:rPr>
              <w:tab/>
            </w:r>
            <w:r w:rsidR="00217D39" w:rsidRPr="00217D39">
              <w:rPr>
                <w:rFonts w:ascii="Times New Roman" w:hAnsi="Times New Roman" w:cs="Times New Roman"/>
                <w:noProof/>
                <w:webHidden/>
                <w:sz w:val="24"/>
                <w:szCs w:val="24"/>
              </w:rPr>
              <w:fldChar w:fldCharType="begin"/>
            </w:r>
            <w:r w:rsidR="00217D39" w:rsidRPr="00217D39">
              <w:rPr>
                <w:rFonts w:ascii="Times New Roman" w:hAnsi="Times New Roman" w:cs="Times New Roman"/>
                <w:noProof/>
                <w:webHidden/>
                <w:sz w:val="24"/>
                <w:szCs w:val="24"/>
              </w:rPr>
              <w:instrText xml:space="preserve"> PAGEREF _Toc62822444 \h </w:instrText>
            </w:r>
            <w:r w:rsidR="00217D39" w:rsidRPr="00217D39">
              <w:rPr>
                <w:rFonts w:ascii="Times New Roman" w:hAnsi="Times New Roman" w:cs="Times New Roman"/>
                <w:noProof/>
                <w:webHidden/>
                <w:sz w:val="24"/>
                <w:szCs w:val="24"/>
              </w:rPr>
            </w:r>
            <w:r w:rsidR="00217D39" w:rsidRPr="00217D39">
              <w:rPr>
                <w:rFonts w:ascii="Times New Roman" w:hAnsi="Times New Roman" w:cs="Times New Roman"/>
                <w:noProof/>
                <w:webHidden/>
                <w:sz w:val="24"/>
                <w:szCs w:val="24"/>
              </w:rPr>
              <w:fldChar w:fldCharType="separate"/>
            </w:r>
            <w:r w:rsidR="00217D39" w:rsidRPr="00217D39">
              <w:rPr>
                <w:rFonts w:ascii="Times New Roman" w:hAnsi="Times New Roman" w:cs="Times New Roman"/>
                <w:noProof/>
                <w:webHidden/>
                <w:sz w:val="24"/>
                <w:szCs w:val="24"/>
              </w:rPr>
              <w:t>7</w:t>
            </w:r>
            <w:r w:rsidR="00217D39" w:rsidRPr="00217D39">
              <w:rPr>
                <w:rFonts w:ascii="Times New Roman" w:hAnsi="Times New Roman" w:cs="Times New Roman"/>
                <w:noProof/>
                <w:webHidden/>
                <w:sz w:val="24"/>
                <w:szCs w:val="24"/>
              </w:rPr>
              <w:fldChar w:fldCharType="end"/>
            </w:r>
          </w:hyperlink>
        </w:p>
        <w:p w:rsidR="00217D39" w:rsidRPr="00217D39" w:rsidRDefault="00BD48D3" w:rsidP="00217D39">
          <w:pPr>
            <w:pStyle w:val="Obsah2"/>
            <w:tabs>
              <w:tab w:val="right" w:leader="dot" w:pos="9062"/>
            </w:tabs>
            <w:rPr>
              <w:rFonts w:ascii="Times New Roman" w:hAnsi="Times New Roman" w:cs="Times New Roman"/>
              <w:noProof/>
              <w:sz w:val="24"/>
              <w:szCs w:val="24"/>
            </w:rPr>
          </w:pPr>
          <w:hyperlink w:anchor="_Toc62822445" w:history="1">
            <w:r w:rsidR="00217D39" w:rsidRPr="00217D39">
              <w:rPr>
                <w:rStyle w:val="Hypertextovprepojenie"/>
                <w:rFonts w:ascii="Times New Roman" w:hAnsi="Times New Roman" w:cs="Times New Roman"/>
                <w:noProof/>
                <w:sz w:val="24"/>
                <w:szCs w:val="24"/>
              </w:rPr>
              <w:t>Circumstances incurring conflict of interests</w:t>
            </w:r>
            <w:r w:rsidR="00217D39" w:rsidRPr="00217D39">
              <w:rPr>
                <w:rFonts w:ascii="Times New Roman" w:hAnsi="Times New Roman" w:cs="Times New Roman"/>
                <w:noProof/>
                <w:webHidden/>
                <w:sz w:val="24"/>
                <w:szCs w:val="24"/>
              </w:rPr>
              <w:tab/>
            </w:r>
            <w:r w:rsidR="00217D39" w:rsidRPr="00217D39">
              <w:rPr>
                <w:rFonts w:ascii="Times New Roman" w:hAnsi="Times New Roman" w:cs="Times New Roman"/>
                <w:noProof/>
                <w:webHidden/>
                <w:sz w:val="24"/>
                <w:szCs w:val="24"/>
              </w:rPr>
              <w:fldChar w:fldCharType="begin"/>
            </w:r>
            <w:r w:rsidR="00217D39" w:rsidRPr="00217D39">
              <w:rPr>
                <w:rFonts w:ascii="Times New Roman" w:hAnsi="Times New Roman" w:cs="Times New Roman"/>
                <w:noProof/>
                <w:webHidden/>
                <w:sz w:val="24"/>
                <w:szCs w:val="24"/>
              </w:rPr>
              <w:instrText xml:space="preserve"> PAGEREF _Toc62822445 \h </w:instrText>
            </w:r>
            <w:r w:rsidR="00217D39" w:rsidRPr="00217D39">
              <w:rPr>
                <w:rFonts w:ascii="Times New Roman" w:hAnsi="Times New Roman" w:cs="Times New Roman"/>
                <w:noProof/>
                <w:webHidden/>
                <w:sz w:val="24"/>
                <w:szCs w:val="24"/>
              </w:rPr>
            </w:r>
            <w:r w:rsidR="00217D39" w:rsidRPr="00217D39">
              <w:rPr>
                <w:rFonts w:ascii="Times New Roman" w:hAnsi="Times New Roman" w:cs="Times New Roman"/>
                <w:noProof/>
                <w:webHidden/>
                <w:sz w:val="24"/>
                <w:szCs w:val="24"/>
              </w:rPr>
              <w:fldChar w:fldCharType="separate"/>
            </w:r>
            <w:r w:rsidR="00217D39" w:rsidRPr="00217D39">
              <w:rPr>
                <w:rFonts w:ascii="Times New Roman" w:hAnsi="Times New Roman" w:cs="Times New Roman"/>
                <w:noProof/>
                <w:webHidden/>
                <w:sz w:val="24"/>
                <w:szCs w:val="24"/>
              </w:rPr>
              <w:t>7</w:t>
            </w:r>
            <w:r w:rsidR="00217D39" w:rsidRPr="00217D39">
              <w:rPr>
                <w:rFonts w:ascii="Times New Roman" w:hAnsi="Times New Roman" w:cs="Times New Roman"/>
                <w:noProof/>
                <w:webHidden/>
                <w:sz w:val="24"/>
                <w:szCs w:val="24"/>
              </w:rPr>
              <w:fldChar w:fldCharType="end"/>
            </w:r>
          </w:hyperlink>
        </w:p>
        <w:p w:rsidR="00217D39" w:rsidRPr="00217D39" w:rsidRDefault="00BD48D3" w:rsidP="00217D39">
          <w:pPr>
            <w:pStyle w:val="Obsah1"/>
            <w:tabs>
              <w:tab w:val="right" w:leader="dot" w:pos="9062"/>
            </w:tabs>
            <w:ind w:left="220"/>
            <w:rPr>
              <w:rFonts w:ascii="Times New Roman" w:hAnsi="Times New Roman" w:cs="Times New Roman"/>
              <w:noProof/>
              <w:sz w:val="24"/>
              <w:szCs w:val="24"/>
            </w:rPr>
          </w:pPr>
          <w:hyperlink w:anchor="_Toc62822446" w:history="1">
            <w:r w:rsidR="00217D39" w:rsidRPr="00217D39">
              <w:rPr>
                <w:rStyle w:val="Hypertextovprepojenie"/>
                <w:rFonts w:ascii="Times New Roman" w:hAnsi="Times New Roman" w:cs="Times New Roman"/>
                <w:noProof/>
                <w:sz w:val="24"/>
                <w:szCs w:val="24"/>
              </w:rPr>
              <w:t>Article VI</w:t>
            </w:r>
            <w:r w:rsidR="00217D39" w:rsidRPr="00217D39">
              <w:rPr>
                <w:rFonts w:ascii="Times New Roman" w:hAnsi="Times New Roman" w:cs="Times New Roman"/>
                <w:noProof/>
                <w:webHidden/>
                <w:sz w:val="24"/>
                <w:szCs w:val="24"/>
              </w:rPr>
              <w:tab/>
            </w:r>
            <w:r w:rsidR="00217D39" w:rsidRPr="00217D39">
              <w:rPr>
                <w:rFonts w:ascii="Times New Roman" w:hAnsi="Times New Roman" w:cs="Times New Roman"/>
                <w:noProof/>
                <w:webHidden/>
                <w:sz w:val="24"/>
                <w:szCs w:val="24"/>
              </w:rPr>
              <w:fldChar w:fldCharType="begin"/>
            </w:r>
            <w:r w:rsidR="00217D39" w:rsidRPr="00217D39">
              <w:rPr>
                <w:rFonts w:ascii="Times New Roman" w:hAnsi="Times New Roman" w:cs="Times New Roman"/>
                <w:noProof/>
                <w:webHidden/>
                <w:sz w:val="24"/>
                <w:szCs w:val="24"/>
              </w:rPr>
              <w:instrText xml:space="preserve"> PAGEREF _Toc62822446 \h </w:instrText>
            </w:r>
            <w:r w:rsidR="00217D39" w:rsidRPr="00217D39">
              <w:rPr>
                <w:rFonts w:ascii="Times New Roman" w:hAnsi="Times New Roman" w:cs="Times New Roman"/>
                <w:noProof/>
                <w:webHidden/>
                <w:sz w:val="24"/>
                <w:szCs w:val="24"/>
              </w:rPr>
            </w:r>
            <w:r w:rsidR="00217D39" w:rsidRPr="00217D39">
              <w:rPr>
                <w:rFonts w:ascii="Times New Roman" w:hAnsi="Times New Roman" w:cs="Times New Roman"/>
                <w:noProof/>
                <w:webHidden/>
                <w:sz w:val="24"/>
                <w:szCs w:val="24"/>
              </w:rPr>
              <w:fldChar w:fldCharType="separate"/>
            </w:r>
            <w:r w:rsidR="00217D39" w:rsidRPr="00217D39">
              <w:rPr>
                <w:rFonts w:ascii="Times New Roman" w:hAnsi="Times New Roman" w:cs="Times New Roman"/>
                <w:noProof/>
                <w:webHidden/>
                <w:sz w:val="24"/>
                <w:szCs w:val="24"/>
              </w:rPr>
              <w:t>8</w:t>
            </w:r>
            <w:r w:rsidR="00217D39" w:rsidRPr="00217D39">
              <w:rPr>
                <w:rFonts w:ascii="Times New Roman" w:hAnsi="Times New Roman" w:cs="Times New Roman"/>
                <w:noProof/>
                <w:webHidden/>
                <w:sz w:val="24"/>
                <w:szCs w:val="24"/>
              </w:rPr>
              <w:fldChar w:fldCharType="end"/>
            </w:r>
          </w:hyperlink>
        </w:p>
        <w:p w:rsidR="00217D39" w:rsidRPr="00217D39" w:rsidRDefault="00BD48D3" w:rsidP="00217D39">
          <w:pPr>
            <w:pStyle w:val="Obsah2"/>
            <w:tabs>
              <w:tab w:val="right" w:leader="dot" w:pos="9062"/>
            </w:tabs>
            <w:rPr>
              <w:rFonts w:ascii="Times New Roman" w:hAnsi="Times New Roman" w:cs="Times New Roman"/>
              <w:noProof/>
              <w:sz w:val="24"/>
              <w:szCs w:val="24"/>
            </w:rPr>
          </w:pPr>
          <w:hyperlink w:anchor="_Toc62822447" w:history="1">
            <w:r w:rsidR="00217D39" w:rsidRPr="00217D39">
              <w:rPr>
                <w:rStyle w:val="Hypertextovprepojenie"/>
                <w:rFonts w:ascii="Times New Roman" w:hAnsi="Times New Roman" w:cs="Times New Roman"/>
                <w:noProof/>
                <w:sz w:val="24"/>
                <w:szCs w:val="24"/>
              </w:rPr>
              <w:t>Reporting of conflict of interests</w:t>
            </w:r>
            <w:r w:rsidR="00217D39" w:rsidRPr="00217D39">
              <w:rPr>
                <w:rFonts w:ascii="Times New Roman" w:hAnsi="Times New Roman" w:cs="Times New Roman"/>
                <w:noProof/>
                <w:webHidden/>
                <w:sz w:val="24"/>
                <w:szCs w:val="24"/>
              </w:rPr>
              <w:tab/>
            </w:r>
            <w:r w:rsidR="00217D39" w:rsidRPr="00217D39">
              <w:rPr>
                <w:rFonts w:ascii="Times New Roman" w:hAnsi="Times New Roman" w:cs="Times New Roman"/>
                <w:noProof/>
                <w:webHidden/>
                <w:sz w:val="24"/>
                <w:szCs w:val="24"/>
              </w:rPr>
              <w:fldChar w:fldCharType="begin"/>
            </w:r>
            <w:r w:rsidR="00217D39" w:rsidRPr="00217D39">
              <w:rPr>
                <w:rFonts w:ascii="Times New Roman" w:hAnsi="Times New Roman" w:cs="Times New Roman"/>
                <w:noProof/>
                <w:webHidden/>
                <w:sz w:val="24"/>
                <w:szCs w:val="24"/>
              </w:rPr>
              <w:instrText xml:space="preserve"> PAGEREF _Toc62822447 \h </w:instrText>
            </w:r>
            <w:r w:rsidR="00217D39" w:rsidRPr="00217D39">
              <w:rPr>
                <w:rFonts w:ascii="Times New Roman" w:hAnsi="Times New Roman" w:cs="Times New Roman"/>
                <w:noProof/>
                <w:webHidden/>
                <w:sz w:val="24"/>
                <w:szCs w:val="24"/>
              </w:rPr>
            </w:r>
            <w:r w:rsidR="00217D39" w:rsidRPr="00217D39">
              <w:rPr>
                <w:rFonts w:ascii="Times New Roman" w:hAnsi="Times New Roman" w:cs="Times New Roman"/>
                <w:noProof/>
                <w:webHidden/>
                <w:sz w:val="24"/>
                <w:szCs w:val="24"/>
              </w:rPr>
              <w:fldChar w:fldCharType="separate"/>
            </w:r>
            <w:r w:rsidR="00217D39" w:rsidRPr="00217D39">
              <w:rPr>
                <w:rFonts w:ascii="Times New Roman" w:hAnsi="Times New Roman" w:cs="Times New Roman"/>
                <w:noProof/>
                <w:webHidden/>
                <w:sz w:val="24"/>
                <w:szCs w:val="24"/>
              </w:rPr>
              <w:t>8</w:t>
            </w:r>
            <w:r w:rsidR="00217D39" w:rsidRPr="00217D39">
              <w:rPr>
                <w:rFonts w:ascii="Times New Roman" w:hAnsi="Times New Roman" w:cs="Times New Roman"/>
                <w:noProof/>
                <w:webHidden/>
                <w:sz w:val="24"/>
                <w:szCs w:val="24"/>
              </w:rPr>
              <w:fldChar w:fldCharType="end"/>
            </w:r>
          </w:hyperlink>
        </w:p>
        <w:p w:rsidR="00217D39" w:rsidRPr="00217D39" w:rsidRDefault="00BD48D3" w:rsidP="00217D39">
          <w:pPr>
            <w:pStyle w:val="Obsah1"/>
            <w:tabs>
              <w:tab w:val="right" w:leader="dot" w:pos="9062"/>
            </w:tabs>
            <w:ind w:left="220"/>
            <w:rPr>
              <w:rFonts w:ascii="Times New Roman" w:hAnsi="Times New Roman" w:cs="Times New Roman"/>
              <w:noProof/>
              <w:sz w:val="24"/>
              <w:szCs w:val="24"/>
            </w:rPr>
          </w:pPr>
          <w:hyperlink w:anchor="_Toc62822448" w:history="1">
            <w:r w:rsidR="00217D39" w:rsidRPr="00217D39">
              <w:rPr>
                <w:rStyle w:val="Hypertextovprepojenie"/>
                <w:rFonts w:ascii="Times New Roman" w:hAnsi="Times New Roman" w:cs="Times New Roman"/>
                <w:noProof/>
                <w:sz w:val="24"/>
                <w:szCs w:val="24"/>
              </w:rPr>
              <w:t>Article VII</w:t>
            </w:r>
            <w:r w:rsidR="00217D39" w:rsidRPr="00217D39">
              <w:rPr>
                <w:rFonts w:ascii="Times New Roman" w:hAnsi="Times New Roman" w:cs="Times New Roman"/>
                <w:noProof/>
                <w:webHidden/>
                <w:sz w:val="24"/>
                <w:szCs w:val="24"/>
              </w:rPr>
              <w:tab/>
            </w:r>
            <w:r w:rsidR="00217D39" w:rsidRPr="00217D39">
              <w:rPr>
                <w:rFonts w:ascii="Times New Roman" w:hAnsi="Times New Roman" w:cs="Times New Roman"/>
                <w:noProof/>
                <w:webHidden/>
                <w:sz w:val="24"/>
                <w:szCs w:val="24"/>
              </w:rPr>
              <w:fldChar w:fldCharType="begin"/>
            </w:r>
            <w:r w:rsidR="00217D39" w:rsidRPr="00217D39">
              <w:rPr>
                <w:rFonts w:ascii="Times New Roman" w:hAnsi="Times New Roman" w:cs="Times New Roman"/>
                <w:noProof/>
                <w:webHidden/>
                <w:sz w:val="24"/>
                <w:szCs w:val="24"/>
              </w:rPr>
              <w:instrText xml:space="preserve"> PAGEREF _Toc62822448 \h </w:instrText>
            </w:r>
            <w:r w:rsidR="00217D39" w:rsidRPr="00217D39">
              <w:rPr>
                <w:rFonts w:ascii="Times New Roman" w:hAnsi="Times New Roman" w:cs="Times New Roman"/>
                <w:noProof/>
                <w:webHidden/>
                <w:sz w:val="24"/>
                <w:szCs w:val="24"/>
              </w:rPr>
            </w:r>
            <w:r w:rsidR="00217D39" w:rsidRPr="00217D39">
              <w:rPr>
                <w:rFonts w:ascii="Times New Roman" w:hAnsi="Times New Roman" w:cs="Times New Roman"/>
                <w:noProof/>
                <w:webHidden/>
                <w:sz w:val="24"/>
                <w:szCs w:val="24"/>
              </w:rPr>
              <w:fldChar w:fldCharType="separate"/>
            </w:r>
            <w:r w:rsidR="00217D39" w:rsidRPr="00217D39">
              <w:rPr>
                <w:rFonts w:ascii="Times New Roman" w:hAnsi="Times New Roman" w:cs="Times New Roman"/>
                <w:noProof/>
                <w:webHidden/>
                <w:sz w:val="24"/>
                <w:szCs w:val="24"/>
              </w:rPr>
              <w:t>8</w:t>
            </w:r>
            <w:r w:rsidR="00217D39" w:rsidRPr="00217D39">
              <w:rPr>
                <w:rFonts w:ascii="Times New Roman" w:hAnsi="Times New Roman" w:cs="Times New Roman"/>
                <w:noProof/>
                <w:webHidden/>
                <w:sz w:val="24"/>
                <w:szCs w:val="24"/>
              </w:rPr>
              <w:fldChar w:fldCharType="end"/>
            </w:r>
          </w:hyperlink>
        </w:p>
        <w:p w:rsidR="00217D39" w:rsidRPr="00217D39" w:rsidRDefault="00BD48D3" w:rsidP="00217D39">
          <w:pPr>
            <w:pStyle w:val="Obsah2"/>
            <w:tabs>
              <w:tab w:val="right" w:leader="dot" w:pos="9062"/>
            </w:tabs>
            <w:rPr>
              <w:rFonts w:ascii="Times New Roman" w:hAnsi="Times New Roman" w:cs="Times New Roman"/>
              <w:noProof/>
              <w:sz w:val="24"/>
              <w:szCs w:val="24"/>
            </w:rPr>
          </w:pPr>
          <w:hyperlink w:anchor="_Toc62822449" w:history="1">
            <w:r w:rsidR="00217D39" w:rsidRPr="00217D39">
              <w:rPr>
                <w:rStyle w:val="Hypertextovprepojenie"/>
                <w:rFonts w:ascii="Times New Roman" w:hAnsi="Times New Roman" w:cs="Times New Roman"/>
                <w:noProof/>
                <w:sz w:val="24"/>
                <w:szCs w:val="24"/>
              </w:rPr>
              <w:t>Final provisions</w:t>
            </w:r>
            <w:r w:rsidR="00217D39" w:rsidRPr="00217D39">
              <w:rPr>
                <w:rFonts w:ascii="Times New Roman" w:hAnsi="Times New Roman" w:cs="Times New Roman"/>
                <w:noProof/>
                <w:webHidden/>
                <w:sz w:val="24"/>
                <w:szCs w:val="24"/>
              </w:rPr>
              <w:tab/>
            </w:r>
            <w:r w:rsidR="00217D39" w:rsidRPr="00217D39">
              <w:rPr>
                <w:rFonts w:ascii="Times New Roman" w:hAnsi="Times New Roman" w:cs="Times New Roman"/>
                <w:noProof/>
                <w:webHidden/>
                <w:sz w:val="24"/>
                <w:szCs w:val="24"/>
              </w:rPr>
              <w:fldChar w:fldCharType="begin"/>
            </w:r>
            <w:r w:rsidR="00217D39" w:rsidRPr="00217D39">
              <w:rPr>
                <w:rFonts w:ascii="Times New Roman" w:hAnsi="Times New Roman" w:cs="Times New Roman"/>
                <w:noProof/>
                <w:webHidden/>
                <w:sz w:val="24"/>
                <w:szCs w:val="24"/>
              </w:rPr>
              <w:instrText xml:space="preserve"> PAGEREF _Toc62822449 \h </w:instrText>
            </w:r>
            <w:r w:rsidR="00217D39" w:rsidRPr="00217D39">
              <w:rPr>
                <w:rFonts w:ascii="Times New Roman" w:hAnsi="Times New Roman" w:cs="Times New Roman"/>
                <w:noProof/>
                <w:webHidden/>
                <w:sz w:val="24"/>
                <w:szCs w:val="24"/>
              </w:rPr>
            </w:r>
            <w:r w:rsidR="00217D39" w:rsidRPr="00217D39">
              <w:rPr>
                <w:rFonts w:ascii="Times New Roman" w:hAnsi="Times New Roman" w:cs="Times New Roman"/>
                <w:noProof/>
                <w:webHidden/>
                <w:sz w:val="24"/>
                <w:szCs w:val="24"/>
              </w:rPr>
              <w:fldChar w:fldCharType="separate"/>
            </w:r>
            <w:r w:rsidR="00217D39" w:rsidRPr="00217D39">
              <w:rPr>
                <w:rFonts w:ascii="Times New Roman" w:hAnsi="Times New Roman" w:cs="Times New Roman"/>
                <w:noProof/>
                <w:webHidden/>
                <w:sz w:val="24"/>
                <w:szCs w:val="24"/>
              </w:rPr>
              <w:t>8</w:t>
            </w:r>
            <w:r w:rsidR="00217D39" w:rsidRPr="00217D39">
              <w:rPr>
                <w:rFonts w:ascii="Times New Roman" w:hAnsi="Times New Roman" w:cs="Times New Roman"/>
                <w:noProof/>
                <w:webHidden/>
                <w:sz w:val="24"/>
                <w:szCs w:val="24"/>
              </w:rPr>
              <w:fldChar w:fldCharType="end"/>
            </w:r>
          </w:hyperlink>
        </w:p>
        <w:p w:rsidR="00217D39" w:rsidRDefault="00217D39" w:rsidP="00217D39">
          <w:r w:rsidRPr="00217D39">
            <w:rPr>
              <w:rFonts w:ascii="Times New Roman" w:hAnsi="Times New Roman" w:cs="Times New Roman"/>
              <w:sz w:val="24"/>
              <w:szCs w:val="24"/>
            </w:rPr>
            <w:fldChar w:fldCharType="end"/>
          </w:r>
        </w:p>
      </w:sdtContent>
    </w:sdt>
    <w:p w:rsidR="009F2CEF" w:rsidRDefault="009F2CEF">
      <w:pPr>
        <w:rPr>
          <w:b/>
          <w:bCs/>
          <w:u w:val="single"/>
          <w:lang w:val="en-GB"/>
        </w:rPr>
      </w:pPr>
      <w:r>
        <w:rPr>
          <w:b/>
          <w:bCs/>
          <w:u w:val="single"/>
          <w:lang w:val="en-GB"/>
        </w:rPr>
        <w:br w:type="page"/>
      </w:r>
    </w:p>
    <w:p w:rsidR="009F2CEF" w:rsidRPr="00217D39" w:rsidRDefault="009F2CEF" w:rsidP="00217D39">
      <w:pPr>
        <w:pStyle w:val="Nadpis2"/>
        <w:jc w:val="left"/>
        <w:rPr>
          <w:u w:val="single"/>
        </w:rPr>
      </w:pPr>
      <w:bookmarkStart w:id="0" w:name="_Toc62822434"/>
      <w:r w:rsidRPr="00217D39">
        <w:rPr>
          <w:u w:val="single"/>
        </w:rPr>
        <w:lastRenderedPageBreak/>
        <w:t>DEFINITIONS</w:t>
      </w:r>
      <w:bookmarkEnd w:id="0"/>
      <w:r w:rsidRPr="00217D39">
        <w:rPr>
          <w:u w:val="single"/>
        </w:rPr>
        <w:t xml:space="preserve"> </w:t>
      </w:r>
    </w:p>
    <w:tbl>
      <w:tblPr>
        <w:tblStyle w:val="Mriekatabuky"/>
        <w:tblW w:w="822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5103"/>
      </w:tblGrid>
      <w:tr w:rsidR="009F2CEF" w:rsidRPr="009F2CEF" w:rsidTr="009F2CEF">
        <w:tc>
          <w:tcPr>
            <w:tcW w:w="3118" w:type="dxa"/>
          </w:tcPr>
          <w:p w:rsidR="009F2CEF" w:rsidRPr="009F2CEF" w:rsidRDefault="009F2CEF" w:rsidP="009F2CEF">
            <w:pPr>
              <w:pStyle w:val="Default"/>
              <w:rPr>
                <w:b/>
                <w:bCs/>
                <w:lang w:val="en-GB"/>
              </w:rPr>
            </w:pPr>
            <w:r w:rsidRPr="009F2CEF">
              <w:rPr>
                <w:b/>
                <w:bCs/>
                <w:lang w:val="en-GB"/>
              </w:rPr>
              <w:t>Protected Interests</w:t>
            </w:r>
          </w:p>
        </w:tc>
        <w:tc>
          <w:tcPr>
            <w:tcW w:w="5103" w:type="dxa"/>
          </w:tcPr>
          <w:p w:rsidR="009F2CEF" w:rsidRPr="009F2CEF" w:rsidRDefault="009F2CEF" w:rsidP="00031A67">
            <w:pPr>
              <w:pStyle w:val="Default"/>
              <w:spacing w:before="60" w:after="60" w:line="288" w:lineRule="auto"/>
              <w:jc w:val="both"/>
              <w:rPr>
                <w:lang w:val="en-GB"/>
              </w:rPr>
            </w:pPr>
            <w:r w:rsidRPr="009F2CEF">
              <w:rPr>
                <w:lang w:val="en-GB"/>
              </w:rPr>
              <w:t xml:space="preserve">For purpose of these internal guidelines these are mainly interests of CDCP, interests of CDCP clients, including the participants and clients of the participants. </w:t>
            </w:r>
          </w:p>
        </w:tc>
      </w:tr>
      <w:tr w:rsidR="009F2CEF" w:rsidRPr="009F2CEF" w:rsidTr="009F2CEF">
        <w:tc>
          <w:tcPr>
            <w:tcW w:w="3118" w:type="dxa"/>
          </w:tcPr>
          <w:p w:rsidR="009F2CEF" w:rsidRPr="009F2CEF" w:rsidRDefault="009F2CEF" w:rsidP="009F2CEF">
            <w:pPr>
              <w:pStyle w:val="Default"/>
              <w:rPr>
                <w:b/>
                <w:bCs/>
                <w:lang w:val="en-GB"/>
              </w:rPr>
            </w:pPr>
            <w:r w:rsidRPr="009F2CEF">
              <w:rPr>
                <w:b/>
                <w:bCs/>
                <w:lang w:val="en-GB"/>
              </w:rPr>
              <w:t>Client</w:t>
            </w:r>
          </w:p>
        </w:tc>
        <w:tc>
          <w:tcPr>
            <w:tcW w:w="5103" w:type="dxa"/>
          </w:tcPr>
          <w:p w:rsidR="009F2CEF" w:rsidRPr="009F2CEF" w:rsidRDefault="009F2CEF" w:rsidP="00031A67">
            <w:pPr>
              <w:pStyle w:val="Default"/>
              <w:spacing w:before="60" w:after="60" w:line="288" w:lineRule="auto"/>
              <w:jc w:val="both"/>
              <w:rPr>
                <w:lang w:val="en-GB"/>
              </w:rPr>
            </w:pPr>
            <w:r w:rsidRPr="009F2CEF">
              <w:rPr>
                <w:lang w:val="en-GB"/>
              </w:rPr>
              <w:t xml:space="preserve">For purpose of these internal guidelines it is entity to which CDCP provides for services in connection with performance of its activities. By the client is understood a member, a participant, linked central depository, other market infrastructure or an issuer to which CDCP granted access to the services. Also a person applying for service provision or access to CDCP services, or third person acting on behalf of, or on account of persons pursuant to this definition on basis of the Power of Attorney or other authorisation is considered to be the client. </w:t>
            </w:r>
          </w:p>
        </w:tc>
      </w:tr>
      <w:tr w:rsidR="009F2CEF" w:rsidRPr="009F2CEF" w:rsidTr="009F2CEF">
        <w:tc>
          <w:tcPr>
            <w:tcW w:w="3118" w:type="dxa"/>
          </w:tcPr>
          <w:p w:rsidR="009F2CEF" w:rsidRPr="009F2CEF" w:rsidRDefault="009F2CEF" w:rsidP="009F2CEF">
            <w:pPr>
              <w:pStyle w:val="Default"/>
              <w:rPr>
                <w:b/>
                <w:bCs/>
                <w:lang w:val="en-GB"/>
              </w:rPr>
            </w:pPr>
            <w:r w:rsidRPr="009F2CEF">
              <w:rPr>
                <w:b/>
                <w:bCs/>
                <w:lang w:val="en-GB"/>
              </w:rPr>
              <w:t>Notification</w:t>
            </w:r>
          </w:p>
        </w:tc>
        <w:tc>
          <w:tcPr>
            <w:tcW w:w="5103" w:type="dxa"/>
          </w:tcPr>
          <w:p w:rsidR="009F2CEF" w:rsidRPr="009F2CEF" w:rsidRDefault="009F2CEF" w:rsidP="00031A67">
            <w:pPr>
              <w:pStyle w:val="Default"/>
              <w:spacing w:before="60" w:after="60" w:line="288" w:lineRule="auto"/>
              <w:jc w:val="both"/>
              <w:rPr>
                <w:lang w:val="en-GB"/>
              </w:rPr>
            </w:pPr>
            <w:r w:rsidRPr="009F2CEF">
              <w:rPr>
                <w:lang w:val="en-GB"/>
              </w:rPr>
              <w:t xml:space="preserve">is administrative action of person directly or indirectly connected to an employee, member of top-management, member of the management body of CDCP, by which the Compliance Department is informed that the person got knowledge on fact/facts in connection with performance of her/his employment, function or position, that can contribute to elimination of real or eventual conflict of interests. </w:t>
            </w:r>
          </w:p>
        </w:tc>
      </w:tr>
      <w:tr w:rsidR="009F2CEF" w:rsidRPr="009F2CEF" w:rsidTr="009F2CEF">
        <w:tc>
          <w:tcPr>
            <w:tcW w:w="3118" w:type="dxa"/>
          </w:tcPr>
          <w:p w:rsidR="009F2CEF" w:rsidRPr="009F2CEF" w:rsidRDefault="009F2CEF" w:rsidP="009F2CEF">
            <w:pPr>
              <w:pStyle w:val="Default"/>
              <w:rPr>
                <w:b/>
                <w:bCs/>
                <w:lang w:val="en-GB"/>
              </w:rPr>
            </w:pPr>
            <w:r w:rsidRPr="009F2CEF">
              <w:rPr>
                <w:b/>
                <w:bCs/>
                <w:lang w:val="en-GB"/>
              </w:rPr>
              <w:t>Informant</w:t>
            </w:r>
          </w:p>
        </w:tc>
        <w:tc>
          <w:tcPr>
            <w:tcW w:w="5103" w:type="dxa"/>
          </w:tcPr>
          <w:p w:rsidR="009F2CEF" w:rsidRPr="009F2CEF" w:rsidRDefault="009F2CEF" w:rsidP="00031A67">
            <w:pPr>
              <w:pStyle w:val="Default"/>
              <w:spacing w:before="60" w:after="60" w:line="288" w:lineRule="auto"/>
              <w:jc w:val="both"/>
              <w:rPr>
                <w:lang w:val="en-GB"/>
              </w:rPr>
            </w:pPr>
            <w:r w:rsidRPr="009F2CEF">
              <w:rPr>
                <w:lang w:val="en-GB"/>
              </w:rPr>
              <w:t xml:space="preserve">Any person who placed the Notification in sense of this policy for managing of conflicts of interest. </w:t>
            </w:r>
          </w:p>
        </w:tc>
      </w:tr>
      <w:tr w:rsidR="009F2CEF" w:rsidRPr="009F2CEF" w:rsidTr="009F2CEF">
        <w:tc>
          <w:tcPr>
            <w:tcW w:w="3118" w:type="dxa"/>
          </w:tcPr>
          <w:p w:rsidR="009F2CEF" w:rsidRPr="009F2CEF" w:rsidRDefault="009F2CEF" w:rsidP="009F2CEF">
            <w:pPr>
              <w:pStyle w:val="Default"/>
              <w:rPr>
                <w:b/>
                <w:bCs/>
                <w:lang w:val="en-GB"/>
              </w:rPr>
            </w:pPr>
            <w:r w:rsidRPr="009F2CEF">
              <w:rPr>
                <w:b/>
                <w:bCs/>
                <w:lang w:val="en-GB"/>
              </w:rPr>
              <w:t>Directly or indirectly connected person</w:t>
            </w:r>
          </w:p>
        </w:tc>
        <w:tc>
          <w:tcPr>
            <w:tcW w:w="5103" w:type="dxa"/>
          </w:tcPr>
          <w:p w:rsidR="009F2CEF" w:rsidRPr="009F2CEF" w:rsidRDefault="009F2CEF" w:rsidP="00031A67">
            <w:pPr>
              <w:pStyle w:val="Default"/>
              <w:spacing w:before="60" w:after="60" w:line="288" w:lineRule="auto"/>
              <w:jc w:val="both"/>
              <w:rPr>
                <w:lang w:val="en-GB"/>
              </w:rPr>
            </w:pPr>
            <w:r w:rsidRPr="009F2CEF">
              <w:rPr>
                <w:lang w:val="en-GB"/>
              </w:rPr>
              <w:t xml:space="preserve">Includes wife/husband or partner, family members in ascending or descending lineage to second level and their spouses or partners, and any person with same domicile or usual residence as employees, managers or members of the managing body. </w:t>
            </w:r>
          </w:p>
        </w:tc>
      </w:tr>
      <w:tr w:rsidR="009F2CEF" w:rsidRPr="009F2CEF" w:rsidTr="009F2CEF">
        <w:tc>
          <w:tcPr>
            <w:tcW w:w="3118" w:type="dxa"/>
          </w:tcPr>
          <w:p w:rsidR="009F2CEF" w:rsidRPr="009F2CEF" w:rsidRDefault="009F2CEF" w:rsidP="009F2CEF">
            <w:pPr>
              <w:pStyle w:val="Default"/>
              <w:rPr>
                <w:b/>
                <w:bCs/>
                <w:lang w:val="en-GB"/>
              </w:rPr>
            </w:pPr>
            <w:r w:rsidRPr="009F2CEF">
              <w:rPr>
                <w:b/>
                <w:bCs/>
                <w:lang w:val="en-GB"/>
              </w:rPr>
              <w:t>Participant</w:t>
            </w:r>
          </w:p>
        </w:tc>
        <w:tc>
          <w:tcPr>
            <w:tcW w:w="5103" w:type="dxa"/>
          </w:tcPr>
          <w:p w:rsidR="009F2CEF" w:rsidRPr="009F2CEF" w:rsidRDefault="009F2CEF" w:rsidP="00031A67">
            <w:pPr>
              <w:spacing w:before="60" w:after="60" w:line="288" w:lineRule="auto"/>
              <w:jc w:val="both"/>
              <w:rPr>
                <w:rFonts w:ascii="Times New Roman" w:hAnsi="Times New Roman" w:cs="Times New Roman"/>
                <w:sz w:val="24"/>
                <w:szCs w:val="24"/>
                <w:lang w:val="en-GB"/>
              </w:rPr>
            </w:pPr>
            <w:r w:rsidRPr="009F2CEF">
              <w:rPr>
                <w:rFonts w:ascii="Times New Roman" w:hAnsi="Times New Roman" w:cs="Times New Roman"/>
                <w:sz w:val="24"/>
                <w:szCs w:val="24"/>
                <w:lang w:val="en-GB"/>
              </w:rPr>
              <w:t xml:space="preserve">Any participant in the settlement system to who has been granted access by CDCP in compliance with article 33 of the CSDR Regulation and the Rules of Operation of </w:t>
            </w:r>
            <w:proofErr w:type="spellStart"/>
            <w:r w:rsidRPr="009F2CEF">
              <w:rPr>
                <w:rFonts w:ascii="Times New Roman" w:hAnsi="Times New Roman" w:cs="Times New Roman"/>
                <w:sz w:val="24"/>
                <w:szCs w:val="24"/>
                <w:lang w:val="en-GB"/>
              </w:rPr>
              <w:t>Centrálny</w:t>
            </w:r>
            <w:proofErr w:type="spellEnd"/>
            <w:r w:rsidRPr="009F2CEF">
              <w:rPr>
                <w:rFonts w:ascii="Times New Roman" w:hAnsi="Times New Roman" w:cs="Times New Roman"/>
                <w:sz w:val="24"/>
                <w:szCs w:val="24"/>
                <w:lang w:val="en-GB"/>
              </w:rPr>
              <w:t xml:space="preserve"> </w:t>
            </w:r>
            <w:proofErr w:type="spellStart"/>
            <w:r w:rsidRPr="009F2CEF">
              <w:rPr>
                <w:rFonts w:ascii="Times New Roman" w:hAnsi="Times New Roman" w:cs="Times New Roman"/>
                <w:sz w:val="24"/>
                <w:szCs w:val="24"/>
                <w:lang w:val="en-GB"/>
              </w:rPr>
              <w:t>depozitár</w:t>
            </w:r>
            <w:proofErr w:type="spellEnd"/>
            <w:r w:rsidRPr="009F2CEF">
              <w:rPr>
                <w:rFonts w:ascii="Times New Roman" w:hAnsi="Times New Roman" w:cs="Times New Roman"/>
                <w:sz w:val="24"/>
                <w:szCs w:val="24"/>
                <w:lang w:val="en-GB"/>
              </w:rPr>
              <w:t xml:space="preserve"> </w:t>
            </w:r>
            <w:proofErr w:type="spellStart"/>
            <w:r w:rsidRPr="009F2CEF">
              <w:rPr>
                <w:rFonts w:ascii="Times New Roman" w:hAnsi="Times New Roman" w:cs="Times New Roman"/>
                <w:sz w:val="24"/>
                <w:szCs w:val="24"/>
                <w:lang w:val="en-GB"/>
              </w:rPr>
              <w:t>cenných</w:t>
            </w:r>
            <w:proofErr w:type="spellEnd"/>
            <w:r w:rsidRPr="009F2CEF">
              <w:rPr>
                <w:rFonts w:ascii="Times New Roman" w:hAnsi="Times New Roman" w:cs="Times New Roman"/>
                <w:sz w:val="24"/>
                <w:szCs w:val="24"/>
                <w:lang w:val="en-GB"/>
              </w:rPr>
              <w:t xml:space="preserve"> </w:t>
            </w:r>
            <w:proofErr w:type="spellStart"/>
            <w:r w:rsidRPr="009F2CEF">
              <w:rPr>
                <w:rFonts w:ascii="Times New Roman" w:hAnsi="Times New Roman" w:cs="Times New Roman"/>
                <w:sz w:val="24"/>
                <w:szCs w:val="24"/>
                <w:lang w:val="en-GB"/>
              </w:rPr>
              <w:t>papierov</w:t>
            </w:r>
            <w:proofErr w:type="spellEnd"/>
            <w:r w:rsidRPr="009F2CEF">
              <w:rPr>
                <w:rFonts w:ascii="Times New Roman" w:hAnsi="Times New Roman" w:cs="Times New Roman"/>
                <w:sz w:val="24"/>
                <w:szCs w:val="24"/>
                <w:lang w:val="en-GB"/>
              </w:rPr>
              <w:t xml:space="preserve"> SR, </w:t>
            </w:r>
            <w:proofErr w:type="spellStart"/>
            <w:r w:rsidRPr="009F2CEF">
              <w:rPr>
                <w:rFonts w:ascii="Times New Roman" w:hAnsi="Times New Roman" w:cs="Times New Roman"/>
                <w:sz w:val="24"/>
                <w:szCs w:val="24"/>
                <w:lang w:val="en-GB"/>
              </w:rPr>
              <w:t>a.s.</w:t>
            </w:r>
            <w:proofErr w:type="spellEnd"/>
          </w:p>
        </w:tc>
      </w:tr>
      <w:tr w:rsidR="009F2CEF" w:rsidRPr="009F2CEF" w:rsidTr="009F2CEF">
        <w:tc>
          <w:tcPr>
            <w:tcW w:w="3118" w:type="dxa"/>
          </w:tcPr>
          <w:p w:rsidR="009F2CEF" w:rsidRPr="009F2CEF" w:rsidRDefault="009F2CEF" w:rsidP="009F2CEF">
            <w:pPr>
              <w:pStyle w:val="Default"/>
              <w:rPr>
                <w:b/>
                <w:bCs/>
                <w:lang w:val="en-GB"/>
              </w:rPr>
            </w:pPr>
            <w:r w:rsidRPr="009F2CEF">
              <w:rPr>
                <w:b/>
                <w:bCs/>
                <w:lang w:val="en-GB"/>
              </w:rPr>
              <w:lastRenderedPageBreak/>
              <w:t>Interested party</w:t>
            </w:r>
          </w:p>
        </w:tc>
        <w:tc>
          <w:tcPr>
            <w:tcW w:w="5103" w:type="dxa"/>
          </w:tcPr>
          <w:p w:rsidR="009F2CEF" w:rsidRPr="009F2CEF" w:rsidRDefault="009F2CEF" w:rsidP="00031A67">
            <w:pPr>
              <w:pStyle w:val="Default"/>
              <w:spacing w:before="60" w:after="60" w:line="288" w:lineRule="auto"/>
              <w:jc w:val="both"/>
              <w:rPr>
                <w:lang w:val="en-GB"/>
              </w:rPr>
            </w:pPr>
            <w:r w:rsidRPr="009F2CEF">
              <w:rPr>
                <w:lang w:val="en-GB"/>
              </w:rPr>
              <w:t xml:space="preserve">For purpose of these internal guidelines it is CDCP, CDCP employees, members of CDCP management body, members of CDCP top-management and other persons directly or indirectly connected to specified persons or to CDCP. </w:t>
            </w:r>
          </w:p>
        </w:tc>
      </w:tr>
      <w:tr w:rsidR="009F2CEF" w:rsidRPr="009F2CEF" w:rsidTr="009F2CEF">
        <w:tc>
          <w:tcPr>
            <w:tcW w:w="3118" w:type="dxa"/>
          </w:tcPr>
          <w:p w:rsidR="009F2CEF" w:rsidRPr="009F2CEF" w:rsidRDefault="009F2CEF" w:rsidP="009F2CEF">
            <w:pPr>
              <w:pStyle w:val="Default"/>
              <w:rPr>
                <w:b/>
                <w:bCs/>
                <w:lang w:val="en-GB"/>
              </w:rPr>
            </w:pPr>
            <w:r w:rsidRPr="009F2CEF">
              <w:rPr>
                <w:b/>
                <w:bCs/>
                <w:lang w:val="en-GB"/>
              </w:rPr>
              <w:t xml:space="preserve">Employee </w:t>
            </w:r>
          </w:p>
        </w:tc>
        <w:tc>
          <w:tcPr>
            <w:tcW w:w="5103" w:type="dxa"/>
          </w:tcPr>
          <w:p w:rsidR="009F2CEF" w:rsidRPr="009F2CEF" w:rsidRDefault="009F2CEF" w:rsidP="00031A67">
            <w:pPr>
              <w:pStyle w:val="Default"/>
              <w:spacing w:before="60" w:after="60" w:line="288" w:lineRule="auto"/>
              <w:jc w:val="both"/>
              <w:rPr>
                <w:lang w:val="en-GB"/>
              </w:rPr>
            </w:pPr>
            <w:r w:rsidRPr="009F2CEF">
              <w:rPr>
                <w:lang w:val="en-GB"/>
              </w:rPr>
              <w:t xml:space="preserve">Is a natural person who performs dependent work for CDCP on basis of labour relationship or other similar </w:t>
            </w:r>
            <w:proofErr w:type="gramStart"/>
            <w:r w:rsidRPr="009F2CEF">
              <w:rPr>
                <w:lang w:val="en-GB"/>
              </w:rPr>
              <w:t>relationship.</w:t>
            </w:r>
            <w:proofErr w:type="gramEnd"/>
            <w:r w:rsidRPr="009F2CEF">
              <w:rPr>
                <w:lang w:val="en-GB"/>
              </w:rPr>
              <w:t xml:space="preserve"> </w:t>
            </w:r>
          </w:p>
        </w:tc>
      </w:tr>
    </w:tbl>
    <w:p w:rsidR="009F2CEF" w:rsidRPr="009F2CEF" w:rsidRDefault="009F2CEF" w:rsidP="009F2CEF">
      <w:pPr>
        <w:pStyle w:val="Default"/>
        <w:rPr>
          <w:b/>
          <w:bCs/>
          <w:lang w:val="en-GB"/>
        </w:rPr>
      </w:pPr>
    </w:p>
    <w:p w:rsidR="009F2CEF" w:rsidRDefault="009F2CEF" w:rsidP="009F2CEF">
      <w:pPr>
        <w:pStyle w:val="Default"/>
        <w:rPr>
          <w:b/>
          <w:bCs/>
          <w:lang w:val="en-GB"/>
        </w:rPr>
      </w:pPr>
    </w:p>
    <w:p w:rsidR="009F2CEF" w:rsidRDefault="009F2CEF" w:rsidP="009F2CEF">
      <w:pPr>
        <w:pStyle w:val="Default"/>
        <w:rPr>
          <w:b/>
          <w:bCs/>
          <w:lang w:val="en-GB"/>
        </w:rPr>
      </w:pPr>
    </w:p>
    <w:p w:rsidR="009F2CEF" w:rsidRPr="00217D39" w:rsidRDefault="009F2CEF" w:rsidP="00217D39">
      <w:pPr>
        <w:pStyle w:val="Nadpis2"/>
        <w:jc w:val="left"/>
        <w:rPr>
          <w:u w:val="single"/>
        </w:rPr>
      </w:pPr>
      <w:bookmarkStart w:id="1" w:name="_Toc62822435"/>
      <w:r w:rsidRPr="00217D39">
        <w:rPr>
          <w:u w:val="single"/>
        </w:rPr>
        <w:t>ABBREVIATIONS</w:t>
      </w:r>
      <w:bookmarkEnd w:id="1"/>
    </w:p>
    <w:tbl>
      <w:tblPr>
        <w:tblStyle w:val="Mriekatabuky"/>
        <w:tblW w:w="822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5103"/>
      </w:tblGrid>
      <w:tr w:rsidR="009F2CEF" w:rsidTr="009F2CEF">
        <w:tc>
          <w:tcPr>
            <w:tcW w:w="3118" w:type="dxa"/>
          </w:tcPr>
          <w:p w:rsidR="009F2CEF" w:rsidRDefault="009F2CEF" w:rsidP="009F2CEF">
            <w:pPr>
              <w:pStyle w:val="Default"/>
              <w:rPr>
                <w:b/>
                <w:bCs/>
                <w:lang w:val="en-GB"/>
              </w:rPr>
            </w:pPr>
            <w:r w:rsidRPr="009F2CEF">
              <w:rPr>
                <w:b/>
                <w:bCs/>
                <w:lang w:val="en-GB"/>
              </w:rPr>
              <w:t>CDCP</w:t>
            </w:r>
          </w:p>
        </w:tc>
        <w:tc>
          <w:tcPr>
            <w:tcW w:w="5103" w:type="dxa"/>
          </w:tcPr>
          <w:p w:rsidR="009F2CEF" w:rsidRPr="009F2CEF" w:rsidRDefault="009F2CEF" w:rsidP="00031A67">
            <w:pPr>
              <w:pStyle w:val="Default"/>
              <w:spacing w:before="120" w:after="120" w:line="288" w:lineRule="auto"/>
              <w:jc w:val="both"/>
              <w:rPr>
                <w:lang w:val="en-GB"/>
              </w:rPr>
            </w:pPr>
            <w:proofErr w:type="spellStart"/>
            <w:r w:rsidRPr="009F2CEF">
              <w:rPr>
                <w:lang w:val="en-GB"/>
              </w:rPr>
              <w:t>Centrálny</w:t>
            </w:r>
            <w:proofErr w:type="spellEnd"/>
            <w:r w:rsidRPr="009F2CEF">
              <w:rPr>
                <w:lang w:val="en-GB"/>
              </w:rPr>
              <w:t xml:space="preserve"> </w:t>
            </w:r>
            <w:proofErr w:type="spellStart"/>
            <w:r w:rsidRPr="009F2CEF">
              <w:rPr>
                <w:lang w:val="en-GB"/>
              </w:rPr>
              <w:t>depozitár</w:t>
            </w:r>
            <w:proofErr w:type="spellEnd"/>
            <w:r w:rsidRPr="009F2CEF">
              <w:rPr>
                <w:lang w:val="en-GB"/>
              </w:rPr>
              <w:t xml:space="preserve"> </w:t>
            </w:r>
            <w:proofErr w:type="spellStart"/>
            <w:r w:rsidRPr="009F2CEF">
              <w:rPr>
                <w:lang w:val="en-GB"/>
              </w:rPr>
              <w:t>cenných</w:t>
            </w:r>
            <w:proofErr w:type="spellEnd"/>
            <w:r w:rsidRPr="009F2CEF">
              <w:rPr>
                <w:lang w:val="en-GB"/>
              </w:rPr>
              <w:t xml:space="preserve"> </w:t>
            </w:r>
            <w:proofErr w:type="spellStart"/>
            <w:r w:rsidRPr="009F2CEF">
              <w:rPr>
                <w:lang w:val="en-GB"/>
              </w:rPr>
              <w:t>papierov</w:t>
            </w:r>
            <w:proofErr w:type="spellEnd"/>
            <w:r w:rsidRPr="009F2CEF">
              <w:rPr>
                <w:lang w:val="en-GB"/>
              </w:rPr>
              <w:t xml:space="preserve"> SR, </w:t>
            </w:r>
            <w:proofErr w:type="spellStart"/>
            <w:r w:rsidRPr="009F2CEF">
              <w:rPr>
                <w:lang w:val="en-GB"/>
              </w:rPr>
              <w:t>a.s.</w:t>
            </w:r>
            <w:proofErr w:type="spellEnd"/>
            <w:r w:rsidRPr="009F2CEF">
              <w:rPr>
                <w:lang w:val="en-GB"/>
              </w:rPr>
              <w:t xml:space="preserve"> </w:t>
            </w:r>
          </w:p>
        </w:tc>
      </w:tr>
      <w:tr w:rsidR="009F2CEF" w:rsidTr="009F2CEF">
        <w:tc>
          <w:tcPr>
            <w:tcW w:w="3118" w:type="dxa"/>
          </w:tcPr>
          <w:p w:rsidR="009F2CEF" w:rsidRDefault="009F2CEF" w:rsidP="009F2CEF">
            <w:pPr>
              <w:pStyle w:val="Default"/>
              <w:rPr>
                <w:b/>
                <w:bCs/>
                <w:lang w:val="en-GB"/>
              </w:rPr>
            </w:pPr>
            <w:r w:rsidRPr="009F2CEF">
              <w:rPr>
                <w:b/>
                <w:bCs/>
                <w:lang w:val="en-GB"/>
              </w:rPr>
              <w:t>Compliance Department</w:t>
            </w:r>
          </w:p>
        </w:tc>
        <w:tc>
          <w:tcPr>
            <w:tcW w:w="5103" w:type="dxa"/>
          </w:tcPr>
          <w:p w:rsidR="009F2CEF" w:rsidRPr="009F2CEF" w:rsidRDefault="009F2CEF" w:rsidP="00031A67">
            <w:pPr>
              <w:pStyle w:val="Default"/>
              <w:spacing w:before="120" w:after="120" w:line="288" w:lineRule="auto"/>
              <w:jc w:val="both"/>
              <w:rPr>
                <w:lang w:val="en-GB"/>
              </w:rPr>
            </w:pPr>
            <w:r w:rsidRPr="009F2CEF">
              <w:rPr>
                <w:lang w:val="en-GB"/>
              </w:rPr>
              <w:t xml:space="preserve">Organizational unit of CDCP in which the performance of an independent Compliance function is administratively involved and its responsibility is the management of conflict of interest. For the purposes of this Directive, the term Compliance Department is used also for the purpose of performing Compliance function. </w:t>
            </w:r>
          </w:p>
        </w:tc>
      </w:tr>
      <w:tr w:rsidR="009F2CEF" w:rsidTr="009F2CEF">
        <w:tc>
          <w:tcPr>
            <w:tcW w:w="3118" w:type="dxa"/>
          </w:tcPr>
          <w:p w:rsidR="009F2CEF" w:rsidRDefault="009F2CEF" w:rsidP="009F2CEF">
            <w:pPr>
              <w:pStyle w:val="Default"/>
              <w:rPr>
                <w:b/>
                <w:bCs/>
                <w:lang w:val="en-GB"/>
              </w:rPr>
            </w:pPr>
            <w:r w:rsidRPr="009F2CEF">
              <w:rPr>
                <w:b/>
                <w:bCs/>
                <w:lang w:val="en-GB"/>
              </w:rPr>
              <w:t>CSDR Regulation</w:t>
            </w:r>
          </w:p>
        </w:tc>
        <w:tc>
          <w:tcPr>
            <w:tcW w:w="5103" w:type="dxa"/>
          </w:tcPr>
          <w:p w:rsidR="009F2CEF" w:rsidRPr="009F2CEF" w:rsidRDefault="009F2CEF" w:rsidP="00031A67">
            <w:pPr>
              <w:pStyle w:val="Default"/>
              <w:spacing w:before="120" w:after="120" w:line="288" w:lineRule="auto"/>
              <w:jc w:val="both"/>
              <w:rPr>
                <w:lang w:val="en-GB"/>
              </w:rPr>
            </w:pPr>
            <w:r w:rsidRPr="009F2CEF">
              <w:rPr>
                <w:lang w:val="en-GB"/>
              </w:rPr>
              <w:t xml:space="preserve">Regulation (EU) No 909/2014 of the European Parliament and of the Council of 23 July 2014 on improving securities settlement in the European Union and on central securities depositories and amending Directives 98/26/EC and 2014/65/EU and Regulation (EU) No 236/2012. </w:t>
            </w:r>
          </w:p>
        </w:tc>
      </w:tr>
      <w:tr w:rsidR="009F2CEF" w:rsidTr="009F2CEF">
        <w:tc>
          <w:tcPr>
            <w:tcW w:w="3118" w:type="dxa"/>
          </w:tcPr>
          <w:p w:rsidR="009F2CEF" w:rsidRDefault="009F2CEF" w:rsidP="009F2CEF">
            <w:pPr>
              <w:pStyle w:val="Default"/>
              <w:rPr>
                <w:b/>
                <w:bCs/>
                <w:lang w:val="en-GB"/>
              </w:rPr>
            </w:pPr>
            <w:r w:rsidRPr="009F2CEF">
              <w:rPr>
                <w:b/>
                <w:bCs/>
                <w:lang w:val="en-GB"/>
              </w:rPr>
              <w:t>RTS</w:t>
            </w:r>
          </w:p>
        </w:tc>
        <w:tc>
          <w:tcPr>
            <w:tcW w:w="5103" w:type="dxa"/>
          </w:tcPr>
          <w:p w:rsidR="009F2CEF" w:rsidRPr="009F2CEF" w:rsidRDefault="009F2CEF" w:rsidP="00031A67">
            <w:pPr>
              <w:pStyle w:val="Default"/>
              <w:spacing w:before="120" w:after="120" w:line="288" w:lineRule="auto"/>
              <w:jc w:val="both"/>
              <w:rPr>
                <w:lang w:val="en-GB"/>
              </w:rPr>
            </w:pPr>
            <w:r w:rsidRPr="009F2CEF">
              <w:rPr>
                <w:lang w:val="en-GB"/>
              </w:rPr>
              <w:t xml:space="preserve">The Commission Delegated Regulation (EU) 2017/392 f 11 November 2016 supplementing Regulation (EU) No 909/2014 of the European Parliament and of the Council with regard to regulatory technical standards on authorisation, supervisory and operational requirements for central securities depositories </w:t>
            </w:r>
          </w:p>
        </w:tc>
      </w:tr>
      <w:tr w:rsidR="009F2CEF" w:rsidTr="009F2CEF">
        <w:tc>
          <w:tcPr>
            <w:tcW w:w="3118" w:type="dxa"/>
          </w:tcPr>
          <w:p w:rsidR="009F2CEF" w:rsidRDefault="009F2CEF" w:rsidP="009F2CEF">
            <w:pPr>
              <w:pStyle w:val="Default"/>
              <w:rPr>
                <w:b/>
                <w:bCs/>
                <w:lang w:val="en-GB"/>
              </w:rPr>
            </w:pPr>
            <w:r w:rsidRPr="009F2CEF">
              <w:rPr>
                <w:b/>
                <w:bCs/>
                <w:lang w:val="en-GB"/>
              </w:rPr>
              <w:t>SR</w:t>
            </w:r>
          </w:p>
        </w:tc>
        <w:tc>
          <w:tcPr>
            <w:tcW w:w="5103" w:type="dxa"/>
          </w:tcPr>
          <w:p w:rsidR="009F2CEF" w:rsidRPr="009F2CEF" w:rsidRDefault="009F2CEF" w:rsidP="00031A67">
            <w:pPr>
              <w:spacing w:before="120" w:after="120" w:line="288" w:lineRule="auto"/>
              <w:jc w:val="both"/>
              <w:rPr>
                <w:rFonts w:ascii="Times New Roman" w:hAnsi="Times New Roman" w:cs="Times New Roman"/>
                <w:sz w:val="24"/>
                <w:szCs w:val="24"/>
                <w:lang w:val="en-GB"/>
              </w:rPr>
            </w:pPr>
            <w:r w:rsidRPr="009F2CEF">
              <w:rPr>
                <w:rFonts w:ascii="Times New Roman" w:hAnsi="Times New Roman" w:cs="Times New Roman"/>
                <w:sz w:val="24"/>
                <w:szCs w:val="24"/>
                <w:lang w:val="en-GB"/>
              </w:rPr>
              <w:t>the Slovak Republic</w:t>
            </w:r>
          </w:p>
        </w:tc>
      </w:tr>
    </w:tbl>
    <w:p w:rsidR="009F2CEF" w:rsidRDefault="009F2CEF" w:rsidP="009F2CEF">
      <w:pPr>
        <w:pStyle w:val="Default"/>
        <w:rPr>
          <w:b/>
          <w:bCs/>
          <w:lang w:val="en-GB"/>
        </w:rPr>
      </w:pPr>
    </w:p>
    <w:p w:rsidR="009F2CEF" w:rsidRPr="009F2CEF" w:rsidRDefault="009F2CEF" w:rsidP="009F2CEF">
      <w:pPr>
        <w:rPr>
          <w:rFonts w:ascii="Times New Roman" w:hAnsi="Times New Roman" w:cs="Times New Roman"/>
          <w:sz w:val="24"/>
          <w:szCs w:val="24"/>
          <w:lang w:val="en-GB"/>
        </w:rPr>
      </w:pPr>
    </w:p>
    <w:p w:rsidR="009F2CEF" w:rsidRPr="00217D39" w:rsidRDefault="009F2CEF" w:rsidP="00217D39">
      <w:pPr>
        <w:pStyle w:val="Nadpis1"/>
      </w:pPr>
      <w:bookmarkStart w:id="2" w:name="_Toc62822436"/>
      <w:r w:rsidRPr="00217D39">
        <w:lastRenderedPageBreak/>
        <w:t>Article I</w:t>
      </w:r>
      <w:bookmarkEnd w:id="2"/>
    </w:p>
    <w:p w:rsidR="009F2CEF" w:rsidRPr="009F2CEF" w:rsidRDefault="009F2CEF" w:rsidP="00217D39">
      <w:pPr>
        <w:pStyle w:val="Nadpis2"/>
      </w:pPr>
      <w:bookmarkStart w:id="3" w:name="_Toc62822437"/>
      <w:r w:rsidRPr="009F2CEF">
        <w:t>Introductory provisions</w:t>
      </w:r>
      <w:bookmarkEnd w:id="3"/>
    </w:p>
    <w:p w:rsidR="009F2CEF" w:rsidRPr="009F2CEF" w:rsidRDefault="009F2CEF" w:rsidP="00AD3EB3">
      <w:pPr>
        <w:pStyle w:val="Default"/>
        <w:spacing w:line="288" w:lineRule="auto"/>
        <w:jc w:val="both"/>
        <w:rPr>
          <w:lang w:val="en-GB"/>
        </w:rPr>
      </w:pPr>
      <w:proofErr w:type="spellStart"/>
      <w:r w:rsidRPr="009F2CEF">
        <w:rPr>
          <w:lang w:val="en-GB"/>
        </w:rPr>
        <w:t>Centrálny</w:t>
      </w:r>
      <w:proofErr w:type="spellEnd"/>
      <w:r w:rsidRPr="009F2CEF">
        <w:rPr>
          <w:lang w:val="en-GB"/>
        </w:rPr>
        <w:t xml:space="preserve"> </w:t>
      </w:r>
      <w:proofErr w:type="spellStart"/>
      <w:r w:rsidRPr="009F2CEF">
        <w:rPr>
          <w:lang w:val="en-GB"/>
        </w:rPr>
        <w:t>depozitár</w:t>
      </w:r>
      <w:proofErr w:type="spellEnd"/>
      <w:r w:rsidRPr="009F2CEF">
        <w:rPr>
          <w:lang w:val="en-GB"/>
        </w:rPr>
        <w:t xml:space="preserve"> </w:t>
      </w:r>
      <w:proofErr w:type="spellStart"/>
      <w:r w:rsidRPr="009F2CEF">
        <w:rPr>
          <w:lang w:val="en-GB"/>
        </w:rPr>
        <w:t>cenných</w:t>
      </w:r>
      <w:proofErr w:type="spellEnd"/>
      <w:r w:rsidRPr="009F2CEF">
        <w:rPr>
          <w:lang w:val="en-GB"/>
        </w:rPr>
        <w:t xml:space="preserve"> </w:t>
      </w:r>
      <w:proofErr w:type="spellStart"/>
      <w:r w:rsidRPr="009F2CEF">
        <w:rPr>
          <w:lang w:val="en-GB"/>
        </w:rPr>
        <w:t>papierov</w:t>
      </w:r>
      <w:proofErr w:type="spellEnd"/>
      <w:r w:rsidRPr="009F2CEF">
        <w:rPr>
          <w:lang w:val="en-GB"/>
        </w:rPr>
        <w:t xml:space="preserve"> SR, </w:t>
      </w:r>
      <w:proofErr w:type="spellStart"/>
      <w:r w:rsidRPr="009F2CEF">
        <w:rPr>
          <w:lang w:val="en-GB"/>
        </w:rPr>
        <w:t>a.s.</w:t>
      </w:r>
      <w:proofErr w:type="spellEnd"/>
      <w:r w:rsidRPr="009F2CEF">
        <w:rPr>
          <w:lang w:val="en-GB"/>
        </w:rPr>
        <w:t xml:space="preserve"> with registered seat at 29. </w:t>
      </w:r>
      <w:proofErr w:type="spellStart"/>
      <w:r w:rsidRPr="009F2CEF">
        <w:rPr>
          <w:lang w:val="en-GB"/>
        </w:rPr>
        <w:t>augusta</w:t>
      </w:r>
      <w:proofErr w:type="spellEnd"/>
      <w:r w:rsidRPr="009F2CEF">
        <w:rPr>
          <w:lang w:val="en-GB"/>
        </w:rPr>
        <w:t xml:space="preserve"> 1/A, 814 80 Bratislava, company ID: 31 338 976, registered in the Companies Registry of the District Court Bratislava I, section: Sa, file No. 493/B in compliance with relevant provisions of the Regulation (EU) No. 909/2014 of the European Parliament and of the Council of 23 July 2014 on improving securities settlement in the European Union and on central securities depositories and amending Directives 98/26/EC and 2014/65/EU and Regulation (EU) No 236/2012 and related Commission Delegated Regulation, issued this policy addressed to the public in relation to persons who are not CDCP employees. Purpose of this policy is to inform on management of conflict of interest in conditions of CDCP and setting of standard procedures applied to manage the conflict of interest in relation to persons who are not CDCP employees and definition of procedures to notify on possible or existing conflicts of interest. </w:t>
      </w:r>
    </w:p>
    <w:p w:rsidR="009F2CEF" w:rsidRPr="00AD3EB3" w:rsidRDefault="009F2CEF" w:rsidP="00217D39">
      <w:pPr>
        <w:pStyle w:val="Nadpis1"/>
      </w:pPr>
      <w:bookmarkStart w:id="4" w:name="_Toc62822438"/>
      <w:r w:rsidRPr="009F2CEF">
        <w:t>Article II</w:t>
      </w:r>
      <w:bookmarkEnd w:id="4"/>
    </w:p>
    <w:p w:rsidR="009F2CEF" w:rsidRPr="00AD3EB3" w:rsidRDefault="009F2CEF" w:rsidP="00217D39">
      <w:pPr>
        <w:pStyle w:val="Nadpis2"/>
      </w:pPr>
      <w:bookmarkStart w:id="5" w:name="_Toc62822439"/>
      <w:r w:rsidRPr="009F2CEF">
        <w:t>Definition of conflict of interests</w:t>
      </w:r>
      <w:bookmarkEnd w:id="5"/>
    </w:p>
    <w:p w:rsidR="009F2CEF" w:rsidRPr="009F2CEF" w:rsidRDefault="009F2CEF" w:rsidP="00AD3EB3">
      <w:pPr>
        <w:pStyle w:val="Default"/>
        <w:numPr>
          <w:ilvl w:val="0"/>
          <w:numId w:val="1"/>
        </w:numPr>
        <w:spacing w:after="164" w:line="288" w:lineRule="auto"/>
        <w:jc w:val="both"/>
        <w:rPr>
          <w:lang w:val="en-GB"/>
        </w:rPr>
      </w:pPr>
      <w:r w:rsidRPr="009F2CEF">
        <w:rPr>
          <w:b/>
          <w:bCs/>
          <w:lang w:val="en-GB"/>
        </w:rPr>
        <w:t xml:space="preserve">Conflict of interests </w:t>
      </w:r>
      <w:r w:rsidRPr="009F2CEF">
        <w:rPr>
          <w:lang w:val="en-GB"/>
        </w:rPr>
        <w:t>is situation when it is possible reasonably presume that interest on impartial and objective performance of employment, function or posit</w:t>
      </w:r>
      <w:r w:rsidR="00AD3EB3">
        <w:rPr>
          <w:lang w:val="en-GB"/>
        </w:rPr>
        <w:t>i</w:t>
      </w:r>
      <w:r w:rsidRPr="009F2CEF">
        <w:rPr>
          <w:lang w:val="en-GB"/>
        </w:rPr>
        <w:t xml:space="preserve">on, and/or when fulfilling other task, could be corrupted or threatened in case of interested persons due to personal, financial or any other interest which could result in significant risk of violation of protected interests. </w:t>
      </w:r>
    </w:p>
    <w:p w:rsidR="009F2CEF" w:rsidRPr="009F2CEF" w:rsidRDefault="009F2CEF" w:rsidP="00AD3EB3">
      <w:pPr>
        <w:pStyle w:val="Default"/>
        <w:numPr>
          <w:ilvl w:val="0"/>
          <w:numId w:val="1"/>
        </w:numPr>
        <w:spacing w:after="120" w:line="288" w:lineRule="auto"/>
        <w:ind w:left="357" w:hanging="357"/>
        <w:jc w:val="both"/>
        <w:rPr>
          <w:lang w:val="en-GB"/>
        </w:rPr>
      </w:pPr>
      <w:r w:rsidRPr="009F2CEF">
        <w:rPr>
          <w:lang w:val="en-GB"/>
        </w:rPr>
        <w:t xml:space="preserve">For purpose of this policy CDCP distinguish following conflicts of interest: </w:t>
      </w:r>
    </w:p>
    <w:p w:rsidR="009F2CEF" w:rsidRPr="009F2CEF" w:rsidRDefault="009F2CEF" w:rsidP="00AD3EB3">
      <w:pPr>
        <w:pStyle w:val="Default"/>
        <w:numPr>
          <w:ilvl w:val="1"/>
          <w:numId w:val="1"/>
        </w:numPr>
        <w:spacing w:after="167" w:line="288" w:lineRule="auto"/>
        <w:jc w:val="both"/>
        <w:rPr>
          <w:lang w:val="en-GB"/>
        </w:rPr>
      </w:pPr>
      <w:r w:rsidRPr="009F2CEF">
        <w:rPr>
          <w:b/>
          <w:bCs/>
          <w:lang w:val="en-GB"/>
        </w:rPr>
        <w:t>potential</w:t>
      </w:r>
      <w:r w:rsidRPr="009F2CEF">
        <w:rPr>
          <w:lang w:val="en-GB"/>
        </w:rPr>
        <w:t xml:space="preserve">, when formal attributes pursuant to section 1 are met and risk that real conflict of interests shall occur exists, but interested parties didn’t act or conditions which could cause conflict of interests violating protected interest didn’t occur by that time, </w:t>
      </w:r>
    </w:p>
    <w:p w:rsidR="009F2CEF" w:rsidRPr="009F2CEF" w:rsidRDefault="009F2CEF" w:rsidP="00AD3EB3">
      <w:pPr>
        <w:pStyle w:val="Default"/>
        <w:numPr>
          <w:ilvl w:val="1"/>
          <w:numId w:val="1"/>
        </w:numPr>
        <w:spacing w:after="167" w:line="288" w:lineRule="auto"/>
        <w:jc w:val="both"/>
        <w:rPr>
          <w:lang w:val="en-GB"/>
        </w:rPr>
      </w:pPr>
      <w:r w:rsidRPr="009F2CEF">
        <w:rPr>
          <w:b/>
          <w:bCs/>
          <w:lang w:val="en-GB"/>
        </w:rPr>
        <w:t xml:space="preserve">real, </w:t>
      </w:r>
      <w:r w:rsidRPr="009F2CEF">
        <w:rPr>
          <w:lang w:val="en-GB"/>
        </w:rPr>
        <w:t xml:space="preserve">when formal attributes pursuant to section 1 are met, interested parties already acted, or conditions causing conflict of interests occurred at interested parties and protected interest were violated or danger of violation is imminent. </w:t>
      </w:r>
    </w:p>
    <w:p w:rsidR="009F2CEF" w:rsidRPr="009F2CEF" w:rsidRDefault="009F2CEF" w:rsidP="00AD3EB3">
      <w:pPr>
        <w:pStyle w:val="Default"/>
        <w:numPr>
          <w:ilvl w:val="1"/>
          <w:numId w:val="1"/>
        </w:numPr>
        <w:spacing w:line="288" w:lineRule="auto"/>
        <w:jc w:val="both"/>
        <w:rPr>
          <w:lang w:val="en-GB"/>
        </w:rPr>
      </w:pPr>
      <w:r w:rsidRPr="009F2CEF">
        <w:rPr>
          <w:b/>
          <w:bCs/>
          <w:lang w:val="en-GB"/>
        </w:rPr>
        <w:t>permanent</w:t>
      </w:r>
      <w:r w:rsidRPr="009F2CEF">
        <w:rPr>
          <w:lang w:val="en-GB"/>
        </w:rPr>
        <w:t xml:space="preserve">, when it’s not possible effectively prevent to detected real conflict of interest, or it is not possible to exclude it due to the nature of the matter or other similar reason. </w:t>
      </w:r>
    </w:p>
    <w:p w:rsidR="009F2CEF" w:rsidRPr="00AD3EB3" w:rsidRDefault="009F2CEF" w:rsidP="00217D39">
      <w:pPr>
        <w:pStyle w:val="Nadpis1"/>
      </w:pPr>
      <w:bookmarkStart w:id="6" w:name="_Toc62822440"/>
      <w:r w:rsidRPr="00AD3EB3">
        <w:lastRenderedPageBreak/>
        <w:t>Article III</w:t>
      </w:r>
      <w:bookmarkEnd w:id="6"/>
      <w:r w:rsidRPr="00AD3EB3">
        <w:t xml:space="preserve"> </w:t>
      </w:r>
    </w:p>
    <w:p w:rsidR="009F2CEF" w:rsidRPr="00AD3EB3" w:rsidRDefault="009F2CEF" w:rsidP="00217D39">
      <w:pPr>
        <w:pStyle w:val="Nadpis2"/>
      </w:pPr>
      <w:bookmarkStart w:id="7" w:name="_Toc62822441"/>
      <w:r w:rsidRPr="00AD3EB3">
        <w:t>Principles and measures preventing conflict of interests</w:t>
      </w:r>
      <w:bookmarkEnd w:id="7"/>
      <w:r w:rsidRPr="00AD3EB3">
        <w:t xml:space="preserve"> </w:t>
      </w:r>
    </w:p>
    <w:p w:rsidR="009F2CEF" w:rsidRPr="00AD3EB3" w:rsidRDefault="009F2CEF" w:rsidP="00AD3EB3">
      <w:pPr>
        <w:pStyle w:val="Odsekzoznamu"/>
        <w:numPr>
          <w:ilvl w:val="0"/>
          <w:numId w:val="4"/>
        </w:numPr>
        <w:spacing w:line="288" w:lineRule="auto"/>
        <w:ind w:hanging="357"/>
        <w:contextualSpacing w:val="0"/>
        <w:jc w:val="both"/>
        <w:rPr>
          <w:rFonts w:ascii="Times New Roman" w:hAnsi="Times New Roman" w:cs="Times New Roman"/>
          <w:sz w:val="24"/>
          <w:lang w:val="en-GB"/>
        </w:rPr>
      </w:pPr>
      <w:r w:rsidRPr="00AD3EB3">
        <w:rPr>
          <w:rFonts w:ascii="Times New Roman" w:hAnsi="Times New Roman" w:cs="Times New Roman"/>
          <w:sz w:val="24"/>
          <w:lang w:val="en-GB"/>
        </w:rPr>
        <w:t xml:space="preserve">CDCP is continuously controlling and monitoring its activities and services in manner ensuring adequate protection and prevention of creation of conflict of interests in the highest possible degree, and it aims to avoid conflict of interest before entering into situations in which conflict of interests could possibly occur. </w:t>
      </w:r>
    </w:p>
    <w:p w:rsidR="009F2CEF" w:rsidRPr="00217D39" w:rsidRDefault="009F2CEF" w:rsidP="00AD3EB3">
      <w:pPr>
        <w:pStyle w:val="Odsekzoznamu"/>
        <w:numPr>
          <w:ilvl w:val="0"/>
          <w:numId w:val="4"/>
        </w:numPr>
        <w:spacing w:line="288" w:lineRule="auto"/>
        <w:ind w:hanging="357"/>
        <w:contextualSpacing w:val="0"/>
        <w:jc w:val="both"/>
        <w:rPr>
          <w:rStyle w:val="Nadpis2Char"/>
        </w:rPr>
      </w:pPr>
      <w:r w:rsidRPr="00AD3EB3">
        <w:rPr>
          <w:rFonts w:ascii="Times New Roman" w:hAnsi="Times New Roman" w:cs="Times New Roman"/>
          <w:sz w:val="24"/>
          <w:lang w:val="en-GB"/>
        </w:rPr>
        <w:t xml:space="preserve">CDCP fully respects restrictions and measures focused on prevention of conflict of interests set by valid regulations of the Slovak Republic, legal acts of the European Union, </w:t>
      </w:r>
      <w:r w:rsidRPr="00217D39">
        <w:rPr>
          <w:rStyle w:val="Nadpis2Char"/>
        </w:rPr>
        <w:t xml:space="preserve">primarily by CSDR and RTS. </w:t>
      </w:r>
    </w:p>
    <w:p w:rsidR="009F2CEF" w:rsidRPr="00AD3EB3" w:rsidRDefault="009F2CEF" w:rsidP="00AD3EB3">
      <w:pPr>
        <w:pStyle w:val="Odsekzoznamu"/>
        <w:numPr>
          <w:ilvl w:val="0"/>
          <w:numId w:val="4"/>
        </w:numPr>
        <w:spacing w:line="288" w:lineRule="auto"/>
        <w:ind w:hanging="357"/>
        <w:contextualSpacing w:val="0"/>
        <w:jc w:val="both"/>
        <w:rPr>
          <w:rFonts w:ascii="Times New Roman" w:hAnsi="Times New Roman" w:cs="Times New Roman"/>
          <w:sz w:val="24"/>
          <w:lang w:val="en-GB"/>
        </w:rPr>
      </w:pPr>
      <w:r w:rsidRPr="00AD3EB3">
        <w:rPr>
          <w:rFonts w:ascii="Times New Roman" w:hAnsi="Times New Roman" w:cs="Times New Roman"/>
          <w:sz w:val="24"/>
          <w:lang w:val="en-GB"/>
        </w:rPr>
        <w:t xml:space="preserve">CDCP has organisational structure which takes into account the rules of required segregation of incompatible functions. Segregation of incompatible functions means separation of personnel and systemic prevention of their mutual influence and unrequired flow of information, what could result in their incorrect application and consequently in possible conflict of interests. </w:t>
      </w:r>
    </w:p>
    <w:p w:rsidR="009F2CEF" w:rsidRPr="00AD3EB3" w:rsidRDefault="009F2CEF" w:rsidP="00AD3EB3">
      <w:pPr>
        <w:pStyle w:val="Odsekzoznamu"/>
        <w:numPr>
          <w:ilvl w:val="0"/>
          <w:numId w:val="4"/>
        </w:numPr>
        <w:spacing w:line="288" w:lineRule="auto"/>
        <w:ind w:hanging="357"/>
        <w:contextualSpacing w:val="0"/>
        <w:jc w:val="both"/>
        <w:rPr>
          <w:rFonts w:ascii="Times New Roman" w:hAnsi="Times New Roman" w:cs="Times New Roman"/>
          <w:sz w:val="24"/>
          <w:lang w:val="en-GB"/>
        </w:rPr>
      </w:pPr>
      <w:r w:rsidRPr="00AD3EB3">
        <w:rPr>
          <w:rFonts w:ascii="Times New Roman" w:hAnsi="Times New Roman" w:cs="Times New Roman"/>
          <w:sz w:val="24"/>
          <w:lang w:val="en-GB"/>
        </w:rPr>
        <w:t xml:space="preserve">Employee remuneration system of CDCP is set such way that it does not motivate to creation of conflict of interests. All members of CDCP management bodies, top-managers of CDCP and CDCP employees are restricted with regard to accepting of gifts or other benefits related to performance of their function or tasks. </w:t>
      </w:r>
    </w:p>
    <w:p w:rsidR="009F2CEF" w:rsidRPr="00AD3EB3" w:rsidRDefault="009F2CEF" w:rsidP="00AD3EB3">
      <w:pPr>
        <w:pStyle w:val="Odsekzoznamu"/>
        <w:numPr>
          <w:ilvl w:val="0"/>
          <w:numId w:val="4"/>
        </w:numPr>
        <w:spacing w:line="288" w:lineRule="auto"/>
        <w:ind w:hanging="357"/>
        <w:contextualSpacing w:val="0"/>
        <w:jc w:val="both"/>
        <w:rPr>
          <w:rFonts w:ascii="Times New Roman" w:hAnsi="Times New Roman" w:cs="Times New Roman"/>
          <w:sz w:val="24"/>
          <w:lang w:val="en-GB"/>
        </w:rPr>
      </w:pPr>
      <w:r w:rsidRPr="00AD3EB3">
        <w:rPr>
          <w:rFonts w:ascii="Times New Roman" w:hAnsi="Times New Roman" w:cs="Times New Roman"/>
          <w:sz w:val="24"/>
          <w:lang w:val="en-GB"/>
        </w:rPr>
        <w:t xml:space="preserve">With regard to conflict of interests following basic principles are relevant in CDCP: </w:t>
      </w:r>
    </w:p>
    <w:p w:rsidR="009F2CEF" w:rsidRPr="00AD3EB3" w:rsidRDefault="009F2CEF" w:rsidP="00AD3EB3">
      <w:pPr>
        <w:pStyle w:val="Odsekzoznamu"/>
        <w:numPr>
          <w:ilvl w:val="1"/>
          <w:numId w:val="4"/>
        </w:numPr>
        <w:spacing w:line="288" w:lineRule="auto"/>
        <w:ind w:hanging="357"/>
        <w:contextualSpacing w:val="0"/>
        <w:jc w:val="both"/>
        <w:rPr>
          <w:rFonts w:ascii="Times New Roman" w:hAnsi="Times New Roman" w:cs="Times New Roman"/>
          <w:sz w:val="24"/>
          <w:lang w:val="en-GB"/>
        </w:rPr>
      </w:pPr>
      <w:r w:rsidRPr="00AD3EB3">
        <w:rPr>
          <w:rFonts w:ascii="Times New Roman" w:hAnsi="Times New Roman" w:cs="Times New Roman"/>
          <w:sz w:val="24"/>
          <w:lang w:val="en-GB"/>
        </w:rPr>
        <w:t xml:space="preserve">prevention of conflicts of interests </w:t>
      </w:r>
    </w:p>
    <w:p w:rsidR="009F2CEF" w:rsidRPr="00AD3EB3" w:rsidRDefault="009F2CEF" w:rsidP="00AD3EB3">
      <w:pPr>
        <w:pStyle w:val="Odsekzoznamu"/>
        <w:numPr>
          <w:ilvl w:val="1"/>
          <w:numId w:val="4"/>
        </w:numPr>
        <w:spacing w:line="288" w:lineRule="auto"/>
        <w:ind w:hanging="357"/>
        <w:contextualSpacing w:val="0"/>
        <w:jc w:val="both"/>
        <w:rPr>
          <w:rFonts w:ascii="Times New Roman" w:hAnsi="Times New Roman" w:cs="Times New Roman"/>
          <w:sz w:val="24"/>
          <w:lang w:val="en-GB"/>
        </w:rPr>
      </w:pPr>
      <w:r w:rsidRPr="00AD3EB3">
        <w:rPr>
          <w:rFonts w:ascii="Times New Roman" w:hAnsi="Times New Roman" w:cs="Times New Roman"/>
          <w:sz w:val="24"/>
          <w:lang w:val="en-GB"/>
        </w:rPr>
        <w:t xml:space="preserve">identification of conflict of interest, </w:t>
      </w:r>
    </w:p>
    <w:p w:rsidR="009F2CEF" w:rsidRPr="00AD3EB3" w:rsidRDefault="009F2CEF" w:rsidP="00AD3EB3">
      <w:pPr>
        <w:pStyle w:val="Odsekzoznamu"/>
        <w:numPr>
          <w:ilvl w:val="1"/>
          <w:numId w:val="4"/>
        </w:numPr>
        <w:spacing w:line="288" w:lineRule="auto"/>
        <w:ind w:hanging="357"/>
        <w:contextualSpacing w:val="0"/>
        <w:jc w:val="both"/>
        <w:rPr>
          <w:rFonts w:ascii="Times New Roman" w:hAnsi="Times New Roman" w:cs="Times New Roman"/>
          <w:sz w:val="24"/>
          <w:lang w:val="en-GB"/>
        </w:rPr>
      </w:pPr>
      <w:r w:rsidRPr="00AD3EB3">
        <w:rPr>
          <w:rFonts w:ascii="Times New Roman" w:hAnsi="Times New Roman" w:cs="Times New Roman"/>
          <w:sz w:val="24"/>
          <w:lang w:val="en-GB"/>
        </w:rPr>
        <w:t xml:space="preserve">resolution of conflict of interests, </w:t>
      </w:r>
    </w:p>
    <w:p w:rsidR="009F2CEF" w:rsidRPr="00AD3EB3" w:rsidRDefault="009F2CEF" w:rsidP="00AD3EB3">
      <w:pPr>
        <w:pStyle w:val="Odsekzoznamu"/>
        <w:numPr>
          <w:ilvl w:val="1"/>
          <w:numId w:val="4"/>
        </w:numPr>
        <w:spacing w:line="288" w:lineRule="auto"/>
        <w:ind w:hanging="357"/>
        <w:contextualSpacing w:val="0"/>
        <w:jc w:val="both"/>
        <w:rPr>
          <w:rFonts w:ascii="Times New Roman" w:hAnsi="Times New Roman" w:cs="Times New Roman"/>
          <w:sz w:val="24"/>
          <w:lang w:val="en-GB"/>
        </w:rPr>
      </w:pPr>
      <w:r w:rsidRPr="00AD3EB3">
        <w:rPr>
          <w:rFonts w:ascii="Times New Roman" w:hAnsi="Times New Roman" w:cs="Times New Roman"/>
          <w:sz w:val="24"/>
          <w:lang w:val="en-GB"/>
        </w:rPr>
        <w:t xml:space="preserve">adoption of adequate measures, </w:t>
      </w:r>
    </w:p>
    <w:p w:rsidR="009F2CEF" w:rsidRPr="00AD3EB3" w:rsidRDefault="009F2CEF" w:rsidP="00AD3EB3">
      <w:pPr>
        <w:pStyle w:val="Odsekzoznamu"/>
        <w:numPr>
          <w:ilvl w:val="1"/>
          <w:numId w:val="4"/>
        </w:numPr>
        <w:spacing w:line="288" w:lineRule="auto"/>
        <w:ind w:hanging="357"/>
        <w:contextualSpacing w:val="0"/>
        <w:jc w:val="both"/>
        <w:rPr>
          <w:rFonts w:ascii="Times New Roman" w:hAnsi="Times New Roman" w:cs="Times New Roman"/>
          <w:sz w:val="24"/>
          <w:lang w:val="en-GB"/>
        </w:rPr>
      </w:pPr>
      <w:r w:rsidRPr="00AD3EB3">
        <w:rPr>
          <w:rFonts w:ascii="Times New Roman" w:hAnsi="Times New Roman" w:cs="Times New Roman"/>
          <w:sz w:val="24"/>
          <w:lang w:val="en-GB"/>
        </w:rPr>
        <w:t xml:space="preserve">correction of detected conflicts of interests, </w:t>
      </w:r>
    </w:p>
    <w:p w:rsidR="009F2CEF" w:rsidRPr="00AD3EB3" w:rsidRDefault="009F2CEF" w:rsidP="00AD3EB3">
      <w:pPr>
        <w:pStyle w:val="Odsekzoznamu"/>
        <w:numPr>
          <w:ilvl w:val="1"/>
          <w:numId w:val="4"/>
        </w:numPr>
        <w:spacing w:line="288" w:lineRule="auto"/>
        <w:ind w:hanging="357"/>
        <w:contextualSpacing w:val="0"/>
        <w:jc w:val="both"/>
        <w:rPr>
          <w:rFonts w:ascii="Times New Roman" w:hAnsi="Times New Roman" w:cs="Times New Roman"/>
          <w:sz w:val="24"/>
          <w:lang w:val="en-GB"/>
        </w:rPr>
      </w:pPr>
      <w:r w:rsidRPr="00AD3EB3">
        <w:rPr>
          <w:rFonts w:ascii="Times New Roman" w:hAnsi="Times New Roman" w:cs="Times New Roman"/>
          <w:sz w:val="24"/>
          <w:lang w:val="en-GB"/>
        </w:rPr>
        <w:t xml:space="preserve">protection of confidential information. </w:t>
      </w:r>
    </w:p>
    <w:p w:rsidR="009F2CEF" w:rsidRPr="00AD3EB3" w:rsidRDefault="009F2CEF" w:rsidP="00AD3EB3">
      <w:pPr>
        <w:pStyle w:val="Odsekzoznamu"/>
        <w:numPr>
          <w:ilvl w:val="0"/>
          <w:numId w:val="4"/>
        </w:numPr>
        <w:spacing w:line="288" w:lineRule="auto"/>
        <w:ind w:hanging="357"/>
        <w:contextualSpacing w:val="0"/>
        <w:jc w:val="both"/>
        <w:rPr>
          <w:rFonts w:ascii="Times New Roman" w:hAnsi="Times New Roman" w:cs="Times New Roman"/>
          <w:sz w:val="24"/>
          <w:lang w:val="en-GB"/>
        </w:rPr>
      </w:pPr>
      <w:r w:rsidRPr="00AD3EB3">
        <w:rPr>
          <w:rFonts w:ascii="Times New Roman" w:hAnsi="Times New Roman" w:cs="Times New Roman"/>
          <w:sz w:val="24"/>
          <w:lang w:val="en-GB"/>
        </w:rPr>
        <w:t xml:space="preserve">CDCP adheres to principle of equal and fair treatment of all clients. </w:t>
      </w:r>
    </w:p>
    <w:p w:rsidR="009F2CEF" w:rsidRPr="00AD3EB3" w:rsidRDefault="009F2CEF" w:rsidP="00217D39">
      <w:pPr>
        <w:pStyle w:val="Nadpis1"/>
      </w:pPr>
      <w:bookmarkStart w:id="8" w:name="_Toc62822442"/>
      <w:r w:rsidRPr="00AD3EB3">
        <w:t>Article IV</w:t>
      </w:r>
      <w:bookmarkEnd w:id="8"/>
      <w:r w:rsidRPr="00AD3EB3">
        <w:t xml:space="preserve"> </w:t>
      </w:r>
    </w:p>
    <w:p w:rsidR="009F2CEF" w:rsidRPr="00AD3EB3" w:rsidRDefault="009F2CEF" w:rsidP="00217D39">
      <w:pPr>
        <w:pStyle w:val="Nadpis2"/>
      </w:pPr>
      <w:bookmarkStart w:id="9" w:name="_Toc62822443"/>
      <w:r w:rsidRPr="009F2CEF">
        <w:t>Possible parties to conflict of interests</w:t>
      </w:r>
      <w:bookmarkEnd w:id="9"/>
      <w:r w:rsidRPr="009F2CEF">
        <w:t xml:space="preserve"> </w:t>
      </w:r>
    </w:p>
    <w:p w:rsidR="009F2CEF" w:rsidRPr="009F2CEF" w:rsidRDefault="009F2CEF" w:rsidP="00AD3EB3">
      <w:pPr>
        <w:pStyle w:val="Default"/>
        <w:numPr>
          <w:ilvl w:val="0"/>
          <w:numId w:val="6"/>
        </w:numPr>
        <w:spacing w:after="200" w:line="288" w:lineRule="auto"/>
        <w:jc w:val="both"/>
        <w:rPr>
          <w:lang w:val="en-GB"/>
        </w:rPr>
      </w:pPr>
      <w:r w:rsidRPr="009F2CEF">
        <w:rPr>
          <w:lang w:val="en-GB"/>
        </w:rPr>
        <w:t xml:space="preserve">In CDCP conflict of interest can arise among: </w:t>
      </w:r>
    </w:p>
    <w:p w:rsidR="009F2CEF" w:rsidRPr="009F2CEF" w:rsidRDefault="009F2CEF" w:rsidP="00AD3EB3">
      <w:pPr>
        <w:pStyle w:val="Default"/>
        <w:numPr>
          <w:ilvl w:val="1"/>
          <w:numId w:val="6"/>
        </w:numPr>
        <w:spacing w:after="200" w:line="288" w:lineRule="auto"/>
        <w:jc w:val="both"/>
        <w:rPr>
          <w:lang w:val="en-GB"/>
        </w:rPr>
      </w:pPr>
      <w:r w:rsidRPr="009F2CEF">
        <w:rPr>
          <w:lang w:val="en-GB"/>
        </w:rPr>
        <w:t xml:space="preserve">CDCP employees, members of CDCP top-management, members of CDCP governing body mutually and among mentioned persons on one side and CDCP on the other side, </w:t>
      </w:r>
    </w:p>
    <w:p w:rsidR="009F2CEF" w:rsidRPr="009F2CEF" w:rsidRDefault="009F2CEF" w:rsidP="00AD3EB3">
      <w:pPr>
        <w:pStyle w:val="Default"/>
        <w:numPr>
          <w:ilvl w:val="1"/>
          <w:numId w:val="6"/>
        </w:numPr>
        <w:spacing w:after="200" w:line="288" w:lineRule="auto"/>
        <w:jc w:val="both"/>
        <w:rPr>
          <w:lang w:val="en-GB"/>
        </w:rPr>
      </w:pPr>
      <w:r w:rsidRPr="009F2CEF">
        <w:rPr>
          <w:lang w:val="en-GB"/>
        </w:rPr>
        <w:lastRenderedPageBreak/>
        <w:t xml:space="preserve">CDCP, CDCP employees, members of CDCP top-management, members of CDCP governing body or any person directly or indirectly connected to these persons on one side and clients on the other side, </w:t>
      </w:r>
    </w:p>
    <w:p w:rsidR="009F2CEF" w:rsidRPr="009F2CEF" w:rsidRDefault="009F2CEF" w:rsidP="00AD3EB3">
      <w:pPr>
        <w:pStyle w:val="Default"/>
        <w:numPr>
          <w:ilvl w:val="1"/>
          <w:numId w:val="6"/>
        </w:numPr>
        <w:spacing w:after="200" w:line="288" w:lineRule="auto"/>
        <w:jc w:val="both"/>
        <w:rPr>
          <w:lang w:val="en-GB"/>
        </w:rPr>
      </w:pPr>
      <w:r w:rsidRPr="009F2CEF">
        <w:rPr>
          <w:lang w:val="en-GB"/>
        </w:rPr>
        <w:t xml:space="preserve">CDCP, CDCP employees, members of CDCP top-management, members of CDCP governing body or any person directly or indirectly connected to these persons on one side and clients of the participants on the other side, </w:t>
      </w:r>
    </w:p>
    <w:p w:rsidR="009F2CEF" w:rsidRPr="009F2CEF" w:rsidRDefault="009F2CEF" w:rsidP="00AD3EB3">
      <w:pPr>
        <w:pStyle w:val="Default"/>
        <w:numPr>
          <w:ilvl w:val="1"/>
          <w:numId w:val="6"/>
        </w:numPr>
        <w:spacing w:after="200" w:line="288" w:lineRule="auto"/>
        <w:jc w:val="both"/>
        <w:rPr>
          <w:lang w:val="en-GB"/>
        </w:rPr>
      </w:pPr>
      <w:r w:rsidRPr="009F2CEF">
        <w:rPr>
          <w:lang w:val="en-GB"/>
        </w:rPr>
        <w:t xml:space="preserve">CDCP, CDCP employees, members of CDCP top-management, members of CDCP governing body or any person directly or indirectly connected to these persons on one side and subjects externally supplying activities and services used by CDCP on the other side. </w:t>
      </w:r>
    </w:p>
    <w:p w:rsidR="009F2CEF" w:rsidRPr="00AD3EB3" w:rsidRDefault="009F2CEF" w:rsidP="00217D39">
      <w:pPr>
        <w:pStyle w:val="Nadpis1"/>
      </w:pPr>
      <w:bookmarkStart w:id="10" w:name="_Toc62822444"/>
      <w:r w:rsidRPr="009F2CEF">
        <w:t>Article V</w:t>
      </w:r>
      <w:bookmarkEnd w:id="10"/>
      <w:r w:rsidRPr="009F2CEF">
        <w:t xml:space="preserve"> </w:t>
      </w:r>
    </w:p>
    <w:p w:rsidR="009F2CEF" w:rsidRPr="00AD3EB3" w:rsidRDefault="009F2CEF" w:rsidP="00217D39">
      <w:pPr>
        <w:pStyle w:val="Nadpis2"/>
      </w:pPr>
      <w:bookmarkStart w:id="11" w:name="_Toc62822445"/>
      <w:r w:rsidRPr="009F2CEF">
        <w:t>Circumstances incurring conflict of interests</w:t>
      </w:r>
      <w:bookmarkEnd w:id="11"/>
      <w:r w:rsidRPr="009F2CEF">
        <w:t xml:space="preserve"> </w:t>
      </w:r>
    </w:p>
    <w:p w:rsidR="009F2CEF" w:rsidRPr="009F2CEF" w:rsidRDefault="009F2CEF" w:rsidP="00217D39">
      <w:pPr>
        <w:pStyle w:val="Default"/>
        <w:numPr>
          <w:ilvl w:val="0"/>
          <w:numId w:val="9"/>
        </w:numPr>
        <w:spacing w:after="200" w:line="288" w:lineRule="auto"/>
        <w:jc w:val="both"/>
        <w:rPr>
          <w:lang w:val="en-GB"/>
        </w:rPr>
      </w:pPr>
      <w:r w:rsidRPr="009F2CEF">
        <w:rPr>
          <w:lang w:val="en-GB"/>
        </w:rPr>
        <w:t xml:space="preserve">For circumstances which may cause conflict of interests among the parties specified in Article IV is regarded acting of interested party which aim is mainly: </w:t>
      </w:r>
    </w:p>
    <w:p w:rsidR="009F2CEF" w:rsidRPr="009F2CEF" w:rsidRDefault="009F2CEF" w:rsidP="00217D39">
      <w:pPr>
        <w:pStyle w:val="Default"/>
        <w:numPr>
          <w:ilvl w:val="1"/>
          <w:numId w:val="9"/>
        </w:numPr>
        <w:spacing w:after="200" w:line="288" w:lineRule="auto"/>
        <w:jc w:val="both"/>
        <w:rPr>
          <w:lang w:val="en-GB"/>
        </w:rPr>
      </w:pPr>
      <w:r w:rsidRPr="009F2CEF">
        <w:rPr>
          <w:lang w:val="en-GB"/>
        </w:rPr>
        <w:t xml:space="preserve">to obtain financial or other benefit by unauthorised exploit of its position or confidential information which is accessible to the interested party, </w:t>
      </w:r>
    </w:p>
    <w:p w:rsidR="009F2CEF" w:rsidRPr="009F2CEF" w:rsidRDefault="009F2CEF" w:rsidP="00217D39">
      <w:pPr>
        <w:pStyle w:val="Default"/>
        <w:numPr>
          <w:ilvl w:val="1"/>
          <w:numId w:val="9"/>
        </w:numPr>
        <w:spacing w:after="200" w:line="288" w:lineRule="auto"/>
        <w:jc w:val="both"/>
        <w:rPr>
          <w:lang w:val="en-GB"/>
        </w:rPr>
      </w:pPr>
      <w:r w:rsidRPr="009F2CEF">
        <w:rPr>
          <w:lang w:val="en-GB"/>
        </w:rPr>
        <w:t xml:space="preserve">to prefer interests of one CDCP client (or group of clients) to interests of another CDCP client (or other group of clients), </w:t>
      </w:r>
    </w:p>
    <w:p w:rsidR="009F2CEF" w:rsidRPr="009F2CEF" w:rsidRDefault="009F2CEF" w:rsidP="00217D39">
      <w:pPr>
        <w:pStyle w:val="Default"/>
        <w:numPr>
          <w:ilvl w:val="1"/>
          <w:numId w:val="9"/>
        </w:numPr>
        <w:spacing w:after="200" w:line="288" w:lineRule="auto"/>
        <w:jc w:val="both"/>
        <w:rPr>
          <w:lang w:val="en-GB"/>
        </w:rPr>
      </w:pPr>
      <w:r w:rsidRPr="009F2CEF">
        <w:rPr>
          <w:lang w:val="en-GB"/>
        </w:rPr>
        <w:t xml:space="preserve">personal interest of interested party in utilisation of services, supplies and equipment of CDCP for purpose of other business activity related to CDCP business activity, </w:t>
      </w:r>
    </w:p>
    <w:p w:rsidR="009F2CEF" w:rsidRPr="009F2CEF" w:rsidRDefault="009F2CEF" w:rsidP="00217D39">
      <w:pPr>
        <w:pStyle w:val="Default"/>
        <w:numPr>
          <w:ilvl w:val="1"/>
          <w:numId w:val="9"/>
        </w:numPr>
        <w:spacing w:after="200" w:line="288" w:lineRule="auto"/>
        <w:jc w:val="both"/>
        <w:rPr>
          <w:lang w:val="en-GB"/>
        </w:rPr>
      </w:pPr>
      <w:r w:rsidRPr="009F2CEF">
        <w:rPr>
          <w:lang w:val="en-GB"/>
        </w:rPr>
        <w:t xml:space="preserve">personal or financial interest of interested party in entity which is to conclude or has concluded an agreement with CDCP, </w:t>
      </w:r>
    </w:p>
    <w:p w:rsidR="009F2CEF" w:rsidRPr="009F2CEF" w:rsidRDefault="009F2CEF" w:rsidP="00217D39">
      <w:pPr>
        <w:pStyle w:val="Default"/>
        <w:numPr>
          <w:ilvl w:val="1"/>
          <w:numId w:val="9"/>
        </w:numPr>
        <w:spacing w:after="200" w:line="288" w:lineRule="auto"/>
        <w:jc w:val="both"/>
        <w:rPr>
          <w:lang w:val="en-GB"/>
        </w:rPr>
      </w:pPr>
      <w:r w:rsidRPr="009F2CEF">
        <w:rPr>
          <w:lang w:val="en-GB"/>
        </w:rPr>
        <w:t xml:space="preserve">personal or financial interest in entity using CDCP services. </w:t>
      </w:r>
    </w:p>
    <w:p w:rsidR="009F2CEF" w:rsidRPr="009F2CEF" w:rsidRDefault="009F2CEF" w:rsidP="00217D39">
      <w:pPr>
        <w:pStyle w:val="Default"/>
        <w:numPr>
          <w:ilvl w:val="0"/>
          <w:numId w:val="9"/>
        </w:numPr>
        <w:spacing w:after="200" w:line="288" w:lineRule="auto"/>
        <w:jc w:val="both"/>
        <w:rPr>
          <w:lang w:val="en-GB"/>
        </w:rPr>
      </w:pPr>
      <w:r w:rsidRPr="009F2CEF">
        <w:rPr>
          <w:lang w:val="en-GB"/>
        </w:rPr>
        <w:t xml:space="preserve">For circumstances under which conflict of interests could incur are considered also: </w:t>
      </w:r>
    </w:p>
    <w:p w:rsidR="009F2CEF" w:rsidRPr="009F2CEF" w:rsidRDefault="009F2CEF" w:rsidP="00217D39">
      <w:pPr>
        <w:pStyle w:val="Default"/>
        <w:numPr>
          <w:ilvl w:val="1"/>
          <w:numId w:val="9"/>
        </w:numPr>
        <w:spacing w:after="200" w:line="288" w:lineRule="auto"/>
        <w:jc w:val="both"/>
        <w:rPr>
          <w:lang w:val="en-GB"/>
        </w:rPr>
      </w:pPr>
      <w:r w:rsidRPr="009F2CEF">
        <w:rPr>
          <w:lang w:val="en-GB"/>
        </w:rPr>
        <w:t xml:space="preserve">capital participation or personal interest of interested party in entity which externally supplies services to CDCP, including any entity which was entrusted by CDCP to provide services or activities, </w:t>
      </w:r>
    </w:p>
    <w:p w:rsidR="009F2CEF" w:rsidRPr="009F2CEF" w:rsidRDefault="009F2CEF" w:rsidP="00217D39">
      <w:pPr>
        <w:pStyle w:val="Default"/>
        <w:numPr>
          <w:ilvl w:val="1"/>
          <w:numId w:val="9"/>
        </w:numPr>
        <w:spacing w:after="200" w:line="288" w:lineRule="auto"/>
        <w:jc w:val="both"/>
        <w:rPr>
          <w:lang w:val="en-GB"/>
        </w:rPr>
      </w:pPr>
      <w:r w:rsidRPr="009F2CEF">
        <w:rPr>
          <w:lang w:val="en-GB"/>
        </w:rPr>
        <w:t xml:space="preserve">linking of interested party to any legal or natural person influencing activities of the entity which externally supplies services used by CDCP or is using services proved by CDCP, </w:t>
      </w:r>
    </w:p>
    <w:p w:rsidR="009F2CEF" w:rsidRPr="009F2CEF" w:rsidRDefault="009F2CEF" w:rsidP="00217D39">
      <w:pPr>
        <w:pStyle w:val="Default"/>
        <w:numPr>
          <w:ilvl w:val="1"/>
          <w:numId w:val="9"/>
        </w:numPr>
        <w:spacing w:after="200" w:line="288" w:lineRule="auto"/>
        <w:jc w:val="both"/>
        <w:rPr>
          <w:lang w:val="en-GB"/>
        </w:rPr>
      </w:pPr>
      <w:r w:rsidRPr="009F2CEF">
        <w:rPr>
          <w:lang w:val="en-GB"/>
        </w:rPr>
        <w:lastRenderedPageBreak/>
        <w:t xml:space="preserve">case when the interested party is a member of governing body or other bodies or committees of entity, which externally supplies services used by CDCP, or is using services provided by CDCP. </w:t>
      </w:r>
    </w:p>
    <w:p w:rsidR="009F2CEF" w:rsidRPr="009F2CEF" w:rsidRDefault="009F2CEF" w:rsidP="00217D39">
      <w:pPr>
        <w:pStyle w:val="Default"/>
        <w:numPr>
          <w:ilvl w:val="0"/>
          <w:numId w:val="9"/>
        </w:numPr>
        <w:spacing w:after="200" w:line="288" w:lineRule="auto"/>
        <w:jc w:val="both"/>
        <w:rPr>
          <w:lang w:val="en-GB"/>
        </w:rPr>
      </w:pPr>
      <w:r w:rsidRPr="009F2CEF">
        <w:rPr>
          <w:lang w:val="en-GB"/>
        </w:rPr>
        <w:t xml:space="preserve">In order to detect conflict of interests mainly circumstances creating conflicts of interests pursuant to section 1 and 2 of this article and provisions of relevant regulations are always considered. This is without prejudice to other circumstances and acting able to create conflict of interests and risk of violation of protected interests. </w:t>
      </w:r>
    </w:p>
    <w:p w:rsidR="009F2CEF" w:rsidRPr="00AD3EB3" w:rsidRDefault="009F2CEF" w:rsidP="00217D39">
      <w:pPr>
        <w:pStyle w:val="Nadpis1"/>
      </w:pPr>
      <w:bookmarkStart w:id="12" w:name="_Toc62822446"/>
      <w:r w:rsidRPr="009F2CEF">
        <w:t>Article VI</w:t>
      </w:r>
      <w:bookmarkEnd w:id="12"/>
      <w:r w:rsidRPr="009F2CEF">
        <w:t xml:space="preserve"> </w:t>
      </w:r>
    </w:p>
    <w:p w:rsidR="009F2CEF" w:rsidRPr="00AD3EB3" w:rsidRDefault="009F2CEF" w:rsidP="00217D39">
      <w:pPr>
        <w:pStyle w:val="Nadpis2"/>
      </w:pPr>
      <w:bookmarkStart w:id="13" w:name="_Toc62822447"/>
      <w:r w:rsidRPr="009F2CEF">
        <w:t>Reporting of conflict of interests</w:t>
      </w:r>
      <w:bookmarkEnd w:id="13"/>
      <w:r w:rsidRPr="009F2CEF">
        <w:t xml:space="preserve"> </w:t>
      </w:r>
    </w:p>
    <w:p w:rsidR="009F2CEF" w:rsidRPr="009F2CEF" w:rsidRDefault="009F2CEF" w:rsidP="00217D39">
      <w:pPr>
        <w:pStyle w:val="Default"/>
        <w:numPr>
          <w:ilvl w:val="0"/>
          <w:numId w:val="11"/>
        </w:numPr>
        <w:spacing w:after="200" w:line="288" w:lineRule="auto"/>
        <w:jc w:val="both"/>
        <w:rPr>
          <w:lang w:val="en-GB"/>
        </w:rPr>
      </w:pPr>
      <w:r w:rsidRPr="009F2CEF">
        <w:rPr>
          <w:lang w:val="en-GB"/>
        </w:rPr>
        <w:t>Any person who got knowledge on real conflict of interests (including permanent conflict of interests), or on rise of potential conflict of interest of interested party, can inform CDCP on them via notification. Template of recommended notification is publis</w:t>
      </w:r>
      <w:r w:rsidR="00217D39">
        <w:rPr>
          <w:lang w:val="en-GB"/>
        </w:rPr>
        <w:t xml:space="preserve">hed on the web site </w:t>
      </w:r>
      <w:hyperlink r:id="rId8" w:history="1">
        <w:r w:rsidR="00217D39" w:rsidRPr="007311E5">
          <w:rPr>
            <w:rStyle w:val="Hypertextovprepojenie"/>
            <w:lang w:val="en-GB"/>
          </w:rPr>
          <w:t>www.cdcp.sk</w:t>
        </w:r>
      </w:hyperlink>
      <w:r w:rsidRPr="009F2CEF">
        <w:rPr>
          <w:lang w:val="en-GB"/>
        </w:rPr>
        <w:t xml:space="preserve">. </w:t>
      </w:r>
    </w:p>
    <w:p w:rsidR="009F2CEF" w:rsidRPr="009F2CEF" w:rsidRDefault="009F2CEF" w:rsidP="00217D39">
      <w:pPr>
        <w:pStyle w:val="Default"/>
        <w:numPr>
          <w:ilvl w:val="0"/>
          <w:numId w:val="11"/>
        </w:numPr>
        <w:spacing w:after="200" w:line="288" w:lineRule="auto"/>
        <w:jc w:val="both"/>
        <w:rPr>
          <w:lang w:val="en-GB"/>
        </w:rPr>
      </w:pPr>
      <w:r w:rsidRPr="009F2CEF">
        <w:rPr>
          <w:lang w:val="en-GB"/>
        </w:rPr>
        <w:t xml:space="preserve">Notification according to section 1 of this article can be placed: </w:t>
      </w:r>
    </w:p>
    <w:p w:rsidR="009F2CEF" w:rsidRPr="009F2CEF" w:rsidRDefault="009F2CEF" w:rsidP="00217D39">
      <w:pPr>
        <w:pStyle w:val="Default"/>
        <w:numPr>
          <w:ilvl w:val="1"/>
          <w:numId w:val="11"/>
        </w:numPr>
        <w:spacing w:after="200" w:line="288" w:lineRule="auto"/>
        <w:jc w:val="both"/>
        <w:rPr>
          <w:lang w:val="en-GB"/>
        </w:rPr>
      </w:pPr>
      <w:r w:rsidRPr="009F2CEF">
        <w:rPr>
          <w:lang w:val="en-GB"/>
        </w:rPr>
        <w:t xml:space="preserve">in writing to the address of CDCP seat – </w:t>
      </w:r>
      <w:proofErr w:type="spellStart"/>
      <w:r w:rsidRPr="009F2CEF">
        <w:rPr>
          <w:lang w:val="en-GB"/>
        </w:rPr>
        <w:t>Centrálny</w:t>
      </w:r>
      <w:proofErr w:type="spellEnd"/>
      <w:r w:rsidRPr="009F2CEF">
        <w:rPr>
          <w:lang w:val="en-GB"/>
        </w:rPr>
        <w:t xml:space="preserve"> </w:t>
      </w:r>
      <w:proofErr w:type="spellStart"/>
      <w:r w:rsidRPr="009F2CEF">
        <w:rPr>
          <w:lang w:val="en-GB"/>
        </w:rPr>
        <w:t>depozitár</w:t>
      </w:r>
      <w:proofErr w:type="spellEnd"/>
      <w:r w:rsidRPr="009F2CEF">
        <w:rPr>
          <w:lang w:val="en-GB"/>
        </w:rPr>
        <w:t xml:space="preserve"> </w:t>
      </w:r>
      <w:proofErr w:type="spellStart"/>
      <w:r w:rsidRPr="009F2CEF">
        <w:rPr>
          <w:lang w:val="en-GB"/>
        </w:rPr>
        <w:t>cenných</w:t>
      </w:r>
      <w:proofErr w:type="spellEnd"/>
      <w:r w:rsidRPr="009F2CEF">
        <w:rPr>
          <w:lang w:val="en-GB"/>
        </w:rPr>
        <w:t xml:space="preserve"> </w:t>
      </w:r>
      <w:proofErr w:type="spellStart"/>
      <w:r w:rsidRPr="009F2CEF">
        <w:rPr>
          <w:lang w:val="en-GB"/>
        </w:rPr>
        <w:t>papierov</w:t>
      </w:r>
      <w:proofErr w:type="spellEnd"/>
      <w:r w:rsidRPr="009F2CEF">
        <w:rPr>
          <w:lang w:val="en-GB"/>
        </w:rPr>
        <w:t xml:space="preserve"> SR, </w:t>
      </w:r>
      <w:proofErr w:type="spellStart"/>
      <w:r w:rsidRPr="009F2CEF">
        <w:rPr>
          <w:lang w:val="en-GB"/>
        </w:rPr>
        <w:t>a.s.</w:t>
      </w:r>
      <w:proofErr w:type="spellEnd"/>
      <w:r w:rsidRPr="009F2CEF">
        <w:rPr>
          <w:lang w:val="en-GB"/>
        </w:rPr>
        <w:t xml:space="preserve">, ul. 29. </w:t>
      </w:r>
      <w:proofErr w:type="spellStart"/>
      <w:r w:rsidRPr="009F2CEF">
        <w:rPr>
          <w:lang w:val="en-GB"/>
        </w:rPr>
        <w:t>augusta</w:t>
      </w:r>
      <w:proofErr w:type="spellEnd"/>
      <w:r w:rsidRPr="009F2CEF">
        <w:rPr>
          <w:lang w:val="en-GB"/>
        </w:rPr>
        <w:t xml:space="preserve"> 1/A, 814 80 Bratislava, </w:t>
      </w:r>
    </w:p>
    <w:p w:rsidR="009F2CEF" w:rsidRPr="009F2CEF" w:rsidRDefault="009F2CEF" w:rsidP="00217D39">
      <w:pPr>
        <w:pStyle w:val="Default"/>
        <w:numPr>
          <w:ilvl w:val="1"/>
          <w:numId w:val="11"/>
        </w:numPr>
        <w:spacing w:after="200" w:line="288" w:lineRule="auto"/>
        <w:jc w:val="both"/>
        <w:rPr>
          <w:lang w:val="en-GB"/>
        </w:rPr>
      </w:pPr>
      <w:r w:rsidRPr="009F2CEF">
        <w:rPr>
          <w:lang w:val="en-GB"/>
        </w:rPr>
        <w:t xml:space="preserve">verbally in the seat of CDCP, whereas written record of the notification has to be made and signed by both parties, or </w:t>
      </w:r>
    </w:p>
    <w:p w:rsidR="009F2CEF" w:rsidRPr="009F2CEF" w:rsidRDefault="009F2CEF" w:rsidP="00217D39">
      <w:pPr>
        <w:pStyle w:val="Default"/>
        <w:numPr>
          <w:ilvl w:val="1"/>
          <w:numId w:val="11"/>
        </w:numPr>
        <w:spacing w:after="200" w:line="288" w:lineRule="auto"/>
        <w:jc w:val="both"/>
        <w:rPr>
          <w:lang w:val="en-GB"/>
        </w:rPr>
      </w:pPr>
      <w:r w:rsidRPr="009F2CEF">
        <w:rPr>
          <w:lang w:val="en-GB"/>
        </w:rPr>
        <w:t xml:space="preserve">via electronic mail to dedicated e-mail address published on the web site </w:t>
      </w:r>
      <w:hyperlink r:id="rId9" w:history="1">
        <w:r w:rsidR="00217D39" w:rsidRPr="007311E5">
          <w:rPr>
            <w:rStyle w:val="Hypertextovprepojenie"/>
            <w:lang w:val="en-GB"/>
          </w:rPr>
          <w:t>www.cdcp.sk</w:t>
        </w:r>
      </w:hyperlink>
      <w:r w:rsidR="00217D39">
        <w:rPr>
          <w:lang w:val="en-GB"/>
        </w:rPr>
        <w:t xml:space="preserve">  </w:t>
      </w:r>
      <w:r w:rsidRPr="009F2CEF">
        <w:rPr>
          <w:lang w:val="en-GB"/>
        </w:rPr>
        <w:t xml:space="preserve"> </w:t>
      </w:r>
    </w:p>
    <w:p w:rsidR="009F2CEF" w:rsidRPr="009F2CEF" w:rsidRDefault="009F2CEF" w:rsidP="00217D39">
      <w:pPr>
        <w:pStyle w:val="Default"/>
        <w:numPr>
          <w:ilvl w:val="0"/>
          <w:numId w:val="11"/>
        </w:numPr>
        <w:spacing w:after="200" w:line="288" w:lineRule="auto"/>
        <w:jc w:val="both"/>
        <w:rPr>
          <w:lang w:val="en-GB"/>
        </w:rPr>
      </w:pPr>
      <w:r w:rsidRPr="009F2CEF">
        <w:rPr>
          <w:lang w:val="en-GB"/>
        </w:rPr>
        <w:t xml:space="preserve">In case the informant wishes to stay anonymous, she/he can mark the envelope with text: “Do not open – notification on conflict of interests”. If the person who placed the notification required for discretion, CDCP shall keep her/his identity in secrecy if the identity is known and it does not prevent to proper revision of placed notification. </w:t>
      </w:r>
    </w:p>
    <w:p w:rsidR="009F2CEF" w:rsidRPr="009F2CEF" w:rsidRDefault="009F2CEF" w:rsidP="00217D39">
      <w:pPr>
        <w:pStyle w:val="Default"/>
        <w:numPr>
          <w:ilvl w:val="0"/>
          <w:numId w:val="11"/>
        </w:numPr>
        <w:spacing w:after="200" w:line="288" w:lineRule="auto"/>
        <w:jc w:val="both"/>
        <w:rPr>
          <w:lang w:val="en-GB"/>
        </w:rPr>
      </w:pPr>
      <w:r w:rsidRPr="009F2CEF">
        <w:rPr>
          <w:lang w:val="en-GB"/>
        </w:rPr>
        <w:t xml:space="preserve">CDCP is obliged to review each notification in reasonable time, including anonymous notification. </w:t>
      </w:r>
    </w:p>
    <w:p w:rsidR="009F2CEF" w:rsidRPr="009F2CEF" w:rsidRDefault="009F2CEF" w:rsidP="00217D39">
      <w:pPr>
        <w:pStyle w:val="Default"/>
        <w:numPr>
          <w:ilvl w:val="0"/>
          <w:numId w:val="11"/>
        </w:numPr>
        <w:spacing w:after="200" w:line="288" w:lineRule="auto"/>
        <w:jc w:val="both"/>
        <w:rPr>
          <w:lang w:val="en-GB"/>
        </w:rPr>
      </w:pPr>
      <w:r w:rsidRPr="009F2CEF">
        <w:rPr>
          <w:lang w:val="en-GB"/>
        </w:rPr>
        <w:t xml:space="preserve">In the case the conflict of interests was detected, CDCP shall inform the informant and the person to whom the notification concerns on result of the review. </w:t>
      </w:r>
    </w:p>
    <w:p w:rsidR="009F2CEF" w:rsidRPr="009F2CEF" w:rsidRDefault="009F2CEF" w:rsidP="00217D39">
      <w:pPr>
        <w:pStyle w:val="Default"/>
        <w:numPr>
          <w:ilvl w:val="0"/>
          <w:numId w:val="11"/>
        </w:numPr>
        <w:spacing w:after="200" w:line="288" w:lineRule="auto"/>
        <w:jc w:val="both"/>
        <w:rPr>
          <w:lang w:val="en-GB"/>
        </w:rPr>
      </w:pPr>
      <w:r w:rsidRPr="009F2CEF">
        <w:rPr>
          <w:lang w:val="en-GB"/>
        </w:rPr>
        <w:t xml:space="preserve">Notification on conflict of interests shall be processed by the organisational unit of CDCP which scope of activity is covering management of conflict of interests. </w:t>
      </w:r>
    </w:p>
    <w:p w:rsidR="009F2CEF" w:rsidRPr="009F2CEF" w:rsidRDefault="009F2CEF" w:rsidP="009F2CEF">
      <w:pPr>
        <w:rPr>
          <w:rFonts w:ascii="Times New Roman" w:hAnsi="Times New Roman" w:cs="Times New Roman"/>
          <w:sz w:val="24"/>
          <w:szCs w:val="24"/>
          <w:lang w:val="en-GB"/>
        </w:rPr>
      </w:pPr>
    </w:p>
    <w:p w:rsidR="009F2CEF" w:rsidRPr="00AD3EB3" w:rsidRDefault="009F2CEF" w:rsidP="00217D39">
      <w:pPr>
        <w:pStyle w:val="Nadpis1"/>
      </w:pPr>
      <w:bookmarkStart w:id="14" w:name="_Toc62822448"/>
      <w:r w:rsidRPr="009F2CEF">
        <w:lastRenderedPageBreak/>
        <w:t>Article VII</w:t>
      </w:r>
      <w:bookmarkEnd w:id="14"/>
      <w:r w:rsidRPr="009F2CEF">
        <w:t xml:space="preserve"> </w:t>
      </w:r>
    </w:p>
    <w:p w:rsidR="009F2CEF" w:rsidRPr="00217D39" w:rsidRDefault="009F2CEF" w:rsidP="00217D39">
      <w:pPr>
        <w:pStyle w:val="Nadpis2"/>
      </w:pPr>
      <w:bookmarkStart w:id="15" w:name="_Toc62822449"/>
      <w:r w:rsidRPr="00217D39">
        <w:t>Final provisions</w:t>
      </w:r>
      <w:bookmarkEnd w:id="15"/>
    </w:p>
    <w:p w:rsidR="009F2CEF" w:rsidRPr="009F2CEF" w:rsidRDefault="009F2CEF" w:rsidP="00217D39">
      <w:pPr>
        <w:pStyle w:val="Default"/>
        <w:numPr>
          <w:ilvl w:val="0"/>
          <w:numId w:val="13"/>
        </w:numPr>
        <w:spacing w:after="200" w:line="288" w:lineRule="auto"/>
        <w:jc w:val="both"/>
        <w:rPr>
          <w:lang w:val="en-GB"/>
        </w:rPr>
      </w:pPr>
      <w:r w:rsidRPr="009F2CEF">
        <w:rPr>
          <w:lang w:val="en-GB"/>
        </w:rPr>
        <w:t xml:space="preserve">This policy creates inseparable part of CDCP regulations on governing of conflict of interests and becomes valid on its approval by the Board of Directors on 24 </w:t>
      </w:r>
      <w:r w:rsidR="00BD48D3">
        <w:rPr>
          <w:lang w:val="en-GB"/>
        </w:rPr>
        <w:t>August</w:t>
      </w:r>
      <w:r w:rsidRPr="009F2CEF">
        <w:rPr>
          <w:lang w:val="en-GB"/>
        </w:rPr>
        <w:t xml:space="preserve"> 20</w:t>
      </w:r>
      <w:r w:rsidR="00BD48D3">
        <w:rPr>
          <w:lang w:val="en-GB"/>
        </w:rPr>
        <w:t>22</w:t>
      </w:r>
      <w:r w:rsidRPr="009F2CEF">
        <w:rPr>
          <w:lang w:val="en-GB"/>
        </w:rPr>
        <w:t xml:space="preserve"> and effective on 1 </w:t>
      </w:r>
      <w:r w:rsidR="00BD48D3">
        <w:rPr>
          <w:lang w:val="en-GB"/>
        </w:rPr>
        <w:t>September</w:t>
      </w:r>
      <w:r w:rsidRPr="009F2CEF">
        <w:rPr>
          <w:lang w:val="en-GB"/>
        </w:rPr>
        <w:t xml:space="preserve"> 20</w:t>
      </w:r>
      <w:r w:rsidR="00BD48D3">
        <w:rPr>
          <w:lang w:val="en-GB"/>
        </w:rPr>
        <w:t>22</w:t>
      </w:r>
      <w:r w:rsidRPr="009F2CEF">
        <w:rPr>
          <w:lang w:val="en-GB"/>
        </w:rPr>
        <w:t xml:space="preserve">. </w:t>
      </w:r>
    </w:p>
    <w:p w:rsidR="009F2CEF" w:rsidRPr="009F2CEF" w:rsidRDefault="009F2CEF" w:rsidP="00217D39">
      <w:pPr>
        <w:pStyle w:val="Default"/>
        <w:numPr>
          <w:ilvl w:val="0"/>
          <w:numId w:val="13"/>
        </w:numPr>
        <w:spacing w:after="200" w:line="288" w:lineRule="auto"/>
        <w:jc w:val="both"/>
        <w:rPr>
          <w:lang w:val="en-GB"/>
        </w:rPr>
      </w:pPr>
      <w:r w:rsidRPr="009F2CEF">
        <w:rPr>
          <w:lang w:val="en-GB"/>
        </w:rPr>
        <w:t xml:space="preserve">The policy on conflict of interest management is available to public in CDCP seat and on the web site </w:t>
      </w:r>
      <w:hyperlink r:id="rId10" w:history="1">
        <w:r w:rsidR="00217D39" w:rsidRPr="007311E5">
          <w:rPr>
            <w:rStyle w:val="Hypertextovprepojenie"/>
            <w:lang w:val="en-GB"/>
          </w:rPr>
          <w:t>ww</w:t>
        </w:r>
        <w:bookmarkStart w:id="16" w:name="_GoBack"/>
        <w:bookmarkEnd w:id="16"/>
        <w:r w:rsidR="00217D39" w:rsidRPr="007311E5">
          <w:rPr>
            <w:rStyle w:val="Hypertextovprepojenie"/>
            <w:lang w:val="en-GB"/>
          </w:rPr>
          <w:t>w.cdcp.sk</w:t>
        </w:r>
      </w:hyperlink>
      <w:r w:rsidRPr="009F2CEF">
        <w:rPr>
          <w:lang w:val="en-GB"/>
        </w:rPr>
        <w:t xml:space="preserve"> </w:t>
      </w:r>
    </w:p>
    <w:sectPr w:rsidR="009F2CEF" w:rsidRPr="009F2CEF" w:rsidSect="00387E72">
      <w:headerReference w:type="default" r:id="rId11"/>
      <w:footerReference w:type="default" r:id="rId12"/>
      <w:headerReference w:type="first" r:id="rId13"/>
      <w:footerReference w:type="first" r:id="rId14"/>
      <w:pgSz w:w="11906" w:h="16838"/>
      <w:pgMar w:top="170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378" w:rsidRDefault="00AE1378" w:rsidP="00387E72">
      <w:pPr>
        <w:spacing w:after="0" w:line="240" w:lineRule="auto"/>
      </w:pPr>
      <w:r>
        <w:separator/>
      </w:r>
    </w:p>
  </w:endnote>
  <w:endnote w:type="continuationSeparator" w:id="0">
    <w:p w:rsidR="00AE1378" w:rsidRDefault="00AE1378" w:rsidP="00387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715315"/>
      <w:docPartObj>
        <w:docPartGallery w:val="Page Numbers (Bottom of Page)"/>
        <w:docPartUnique/>
      </w:docPartObj>
    </w:sdtPr>
    <w:sdtEndPr>
      <w:rPr>
        <w:rFonts w:ascii="Times New Roman" w:hAnsi="Times New Roman" w:cs="Times New Roman"/>
      </w:rPr>
    </w:sdtEndPr>
    <w:sdtContent>
      <w:sdt>
        <w:sdtPr>
          <w:id w:val="908416998"/>
          <w:docPartObj>
            <w:docPartGallery w:val="Page Numbers (Top of Page)"/>
            <w:docPartUnique/>
          </w:docPartObj>
        </w:sdtPr>
        <w:sdtEndPr>
          <w:rPr>
            <w:rFonts w:ascii="Times New Roman" w:hAnsi="Times New Roman" w:cs="Times New Roman"/>
          </w:rPr>
        </w:sdtEndPr>
        <w:sdtContent>
          <w:p w:rsidR="00387E72" w:rsidRDefault="00387E72">
            <w:pPr>
              <w:pStyle w:val="Pta"/>
              <w:jc w:val="center"/>
            </w:pPr>
          </w:p>
          <w:p w:rsidR="00387E72" w:rsidRPr="00387E72" w:rsidRDefault="00387E72" w:rsidP="00387E72">
            <w:pPr>
              <w:pStyle w:val="Pta"/>
              <w:jc w:val="center"/>
              <w:rPr>
                <w:rFonts w:ascii="Times New Roman" w:hAnsi="Times New Roman" w:cs="Times New Roman"/>
              </w:rPr>
            </w:pPr>
            <w:r w:rsidRPr="00387E72">
              <w:rPr>
                <w:rFonts w:ascii="Times New Roman" w:hAnsi="Times New Roman" w:cs="Times New Roman"/>
              </w:rPr>
              <w:t xml:space="preserve"> </w:t>
            </w:r>
            <w:r w:rsidRPr="00387E72">
              <w:rPr>
                <w:rFonts w:ascii="Times New Roman" w:hAnsi="Times New Roman" w:cs="Times New Roman"/>
              </w:rPr>
              <w:fldChar w:fldCharType="begin"/>
            </w:r>
            <w:r w:rsidRPr="00387E72">
              <w:rPr>
                <w:rFonts w:ascii="Times New Roman" w:hAnsi="Times New Roman" w:cs="Times New Roman"/>
              </w:rPr>
              <w:instrText>PAGE</w:instrText>
            </w:r>
            <w:r w:rsidRPr="00387E72">
              <w:rPr>
                <w:rFonts w:ascii="Times New Roman" w:hAnsi="Times New Roman" w:cs="Times New Roman"/>
              </w:rPr>
              <w:fldChar w:fldCharType="separate"/>
            </w:r>
            <w:r w:rsidR="00031A67">
              <w:rPr>
                <w:rFonts w:ascii="Times New Roman" w:hAnsi="Times New Roman" w:cs="Times New Roman"/>
                <w:noProof/>
              </w:rPr>
              <w:t>6</w:t>
            </w:r>
            <w:r w:rsidRPr="00387E72">
              <w:rPr>
                <w:rFonts w:ascii="Times New Roman" w:hAnsi="Times New Roman" w:cs="Times New Roman"/>
              </w:rPr>
              <w:fldChar w:fldCharType="end"/>
            </w:r>
            <w:r w:rsidRPr="00387E72">
              <w:rPr>
                <w:rFonts w:ascii="Times New Roman" w:hAnsi="Times New Roman" w:cs="Times New Roman"/>
              </w:rPr>
              <w:t xml:space="preserve"> of </w:t>
            </w:r>
            <w:r w:rsidRPr="00387E72">
              <w:rPr>
                <w:rFonts w:ascii="Times New Roman" w:hAnsi="Times New Roman" w:cs="Times New Roman"/>
              </w:rPr>
              <w:fldChar w:fldCharType="begin"/>
            </w:r>
            <w:r w:rsidRPr="00387E72">
              <w:rPr>
                <w:rFonts w:ascii="Times New Roman" w:hAnsi="Times New Roman" w:cs="Times New Roman"/>
              </w:rPr>
              <w:instrText>NUMPAGES</w:instrText>
            </w:r>
            <w:r w:rsidRPr="00387E72">
              <w:rPr>
                <w:rFonts w:ascii="Times New Roman" w:hAnsi="Times New Roman" w:cs="Times New Roman"/>
              </w:rPr>
              <w:fldChar w:fldCharType="separate"/>
            </w:r>
            <w:r w:rsidR="00031A67">
              <w:rPr>
                <w:rFonts w:ascii="Times New Roman" w:hAnsi="Times New Roman" w:cs="Times New Roman"/>
                <w:noProof/>
              </w:rPr>
              <w:t>9</w:t>
            </w:r>
            <w:r w:rsidRPr="00387E72">
              <w:rPr>
                <w:rFonts w:ascii="Times New Roman" w:hAnsi="Times New Roman" w:cs="Times New Roman"/>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64C" w:rsidRPr="00A91E52" w:rsidRDefault="0046064C" w:rsidP="0046064C">
    <w:pPr>
      <w:tabs>
        <w:tab w:val="left" w:pos="3686"/>
        <w:tab w:val="left" w:pos="3828"/>
        <w:tab w:val="center" w:pos="5670"/>
        <w:tab w:val="left" w:pos="6379"/>
        <w:tab w:val="right" w:pos="9498"/>
      </w:tabs>
      <w:spacing w:after="40" w:line="240" w:lineRule="auto"/>
      <w:rPr>
        <w:b/>
        <w:color w:val="4C7563"/>
        <w:sz w:val="16"/>
        <w:szCs w:val="16"/>
        <w:lang w:eastAsia="cs-CZ"/>
      </w:rPr>
    </w:pPr>
    <w:r w:rsidRPr="00A91E52">
      <w:rPr>
        <w:b/>
        <w:color w:val="4C7563"/>
        <w:sz w:val="16"/>
        <w:szCs w:val="16"/>
        <w:lang w:eastAsia="cs-CZ"/>
      </w:rPr>
      <w:t>_________________________________________________________________________________________________________________</w:t>
    </w:r>
  </w:p>
  <w:p w:rsidR="0046064C" w:rsidRPr="0046064C" w:rsidRDefault="0046064C" w:rsidP="0046064C">
    <w:pPr>
      <w:tabs>
        <w:tab w:val="left" w:pos="3686"/>
        <w:tab w:val="left" w:pos="4253"/>
        <w:tab w:val="center" w:pos="5670"/>
        <w:tab w:val="left" w:pos="6379"/>
        <w:tab w:val="right" w:pos="9498"/>
      </w:tabs>
      <w:spacing w:after="0" w:line="240" w:lineRule="auto"/>
      <w:jc w:val="both"/>
      <w:rPr>
        <w:rFonts w:ascii="Times New Roman" w:hAnsi="Times New Roman" w:cs="Times New Roman"/>
        <w:color w:val="4C7563"/>
        <w:sz w:val="16"/>
        <w:szCs w:val="16"/>
        <w:lang w:eastAsia="cs-CZ"/>
      </w:rPr>
    </w:pPr>
    <w:r w:rsidRPr="0046064C">
      <w:rPr>
        <w:rFonts w:ascii="Times New Roman" w:hAnsi="Times New Roman" w:cs="Times New Roman"/>
        <w:color w:val="4C7563"/>
        <w:sz w:val="16"/>
        <w:szCs w:val="16"/>
        <w:lang w:eastAsia="cs-CZ"/>
      </w:rPr>
      <w:t xml:space="preserve">Centrálny depozitár cenných papierov SR, </w:t>
    </w:r>
    <w:proofErr w:type="spellStart"/>
    <w:r w:rsidRPr="0046064C">
      <w:rPr>
        <w:rFonts w:ascii="Times New Roman" w:hAnsi="Times New Roman" w:cs="Times New Roman"/>
        <w:color w:val="4C7563"/>
        <w:sz w:val="16"/>
        <w:szCs w:val="16"/>
        <w:lang w:eastAsia="cs-CZ"/>
      </w:rPr>
      <w:t>a.s</w:t>
    </w:r>
    <w:proofErr w:type="spellEnd"/>
    <w:r w:rsidRPr="0046064C">
      <w:rPr>
        <w:rFonts w:ascii="Times New Roman" w:hAnsi="Times New Roman" w:cs="Times New Roman"/>
        <w:color w:val="4C7563"/>
        <w:sz w:val="16"/>
        <w:szCs w:val="16"/>
        <w:lang w:eastAsia="cs-CZ"/>
      </w:rPr>
      <w:t>.</w:t>
    </w:r>
    <w:r w:rsidRPr="0046064C">
      <w:rPr>
        <w:rFonts w:ascii="Times New Roman" w:hAnsi="Times New Roman" w:cs="Times New Roman"/>
        <w:color w:val="4C7563"/>
        <w:sz w:val="16"/>
        <w:szCs w:val="16"/>
        <w:lang w:eastAsia="cs-CZ"/>
      </w:rPr>
      <w:tab/>
      <w:t>I</w:t>
    </w:r>
    <w:r>
      <w:rPr>
        <w:rFonts w:ascii="Times New Roman" w:hAnsi="Times New Roman" w:cs="Times New Roman"/>
        <w:color w:val="4C7563"/>
        <w:sz w:val="16"/>
        <w:szCs w:val="16"/>
        <w:lang w:eastAsia="cs-CZ"/>
      </w:rPr>
      <w:t>D</w:t>
    </w:r>
    <w:r w:rsidRPr="0046064C">
      <w:rPr>
        <w:rFonts w:ascii="Times New Roman" w:hAnsi="Times New Roman" w:cs="Times New Roman"/>
        <w:color w:val="4C7563"/>
        <w:sz w:val="16"/>
        <w:szCs w:val="16"/>
        <w:lang w:eastAsia="cs-CZ"/>
      </w:rPr>
      <w:t>: 31 338 976</w:t>
    </w:r>
    <w:r w:rsidRPr="0046064C">
      <w:rPr>
        <w:rFonts w:ascii="Times New Roman" w:hAnsi="Times New Roman" w:cs="Times New Roman"/>
        <w:color w:val="4C7563"/>
        <w:sz w:val="16"/>
        <w:szCs w:val="16"/>
        <w:lang w:eastAsia="cs-CZ"/>
      </w:rPr>
      <w:tab/>
    </w:r>
    <w:r w:rsidRPr="0046064C">
      <w:rPr>
        <w:rFonts w:ascii="Times New Roman" w:hAnsi="Times New Roman" w:cs="Times New Roman"/>
        <w:color w:val="4C7563"/>
        <w:sz w:val="16"/>
        <w:szCs w:val="16"/>
        <w:lang w:eastAsia="cs-CZ"/>
      </w:rPr>
      <w:tab/>
      <w:t>Bankové spojenie</w:t>
    </w:r>
  </w:p>
  <w:p w:rsidR="0046064C" w:rsidRPr="0046064C" w:rsidRDefault="0046064C" w:rsidP="0046064C">
    <w:pPr>
      <w:tabs>
        <w:tab w:val="left" w:pos="3686"/>
        <w:tab w:val="left" w:pos="4253"/>
        <w:tab w:val="left" w:pos="6237"/>
        <w:tab w:val="left" w:pos="6379"/>
        <w:tab w:val="right" w:pos="9498"/>
      </w:tabs>
      <w:spacing w:after="0" w:line="240" w:lineRule="auto"/>
      <w:jc w:val="both"/>
      <w:rPr>
        <w:rFonts w:ascii="Times New Roman" w:hAnsi="Times New Roman" w:cs="Times New Roman"/>
        <w:color w:val="4C7563"/>
        <w:sz w:val="16"/>
        <w:szCs w:val="16"/>
        <w:lang w:eastAsia="cs-CZ"/>
      </w:rPr>
    </w:pPr>
    <w:r w:rsidRPr="0046064C">
      <w:rPr>
        <w:rFonts w:ascii="Times New Roman" w:hAnsi="Times New Roman" w:cs="Times New Roman"/>
        <w:color w:val="4C7563"/>
        <w:sz w:val="16"/>
        <w:szCs w:val="16"/>
        <w:lang w:eastAsia="cs-CZ"/>
      </w:rPr>
      <w:t xml:space="preserve">ul. 29. </w:t>
    </w:r>
    <w:r>
      <w:rPr>
        <w:rFonts w:ascii="Times New Roman" w:hAnsi="Times New Roman" w:cs="Times New Roman"/>
        <w:color w:val="4C7563"/>
        <w:sz w:val="16"/>
        <w:szCs w:val="16"/>
        <w:lang w:eastAsia="cs-CZ"/>
      </w:rPr>
      <w:t>a</w:t>
    </w:r>
    <w:r w:rsidRPr="0046064C">
      <w:rPr>
        <w:rFonts w:ascii="Times New Roman" w:hAnsi="Times New Roman" w:cs="Times New Roman"/>
        <w:color w:val="4C7563"/>
        <w:sz w:val="16"/>
        <w:szCs w:val="16"/>
        <w:lang w:eastAsia="cs-CZ"/>
      </w:rPr>
      <w:t>ugusta 1/A, 814 80 Bratislava I</w:t>
    </w:r>
    <w:r>
      <w:rPr>
        <w:rFonts w:ascii="Times New Roman" w:hAnsi="Times New Roman" w:cs="Times New Roman"/>
        <w:color w:val="4C7563"/>
        <w:sz w:val="16"/>
        <w:szCs w:val="16"/>
        <w:lang w:eastAsia="cs-CZ"/>
      </w:rPr>
      <w:t> </w:t>
    </w:r>
    <w:r>
      <w:rPr>
        <w:rFonts w:ascii="Times New Roman" w:hAnsi="Times New Roman" w:cs="Times New Roman"/>
        <w:color w:val="4C7563"/>
        <w:sz w:val="16"/>
        <w:szCs w:val="16"/>
        <w:lang w:eastAsia="cs-CZ"/>
      </w:rPr>
      <w:tab/>
    </w:r>
    <w:proofErr w:type="spellStart"/>
    <w:r>
      <w:rPr>
        <w:rFonts w:ascii="Times New Roman" w:hAnsi="Times New Roman" w:cs="Times New Roman"/>
        <w:color w:val="4C7563"/>
        <w:sz w:val="16"/>
        <w:szCs w:val="16"/>
        <w:lang w:eastAsia="cs-CZ"/>
      </w:rPr>
      <w:t>Tax</w:t>
    </w:r>
    <w:proofErr w:type="spellEnd"/>
    <w:r>
      <w:rPr>
        <w:rFonts w:ascii="Times New Roman" w:hAnsi="Times New Roman" w:cs="Times New Roman"/>
        <w:color w:val="4C7563"/>
        <w:sz w:val="16"/>
        <w:szCs w:val="16"/>
        <w:lang w:eastAsia="cs-CZ"/>
      </w:rPr>
      <w:t xml:space="preserve"> ID</w:t>
    </w:r>
    <w:r w:rsidRPr="0046064C">
      <w:rPr>
        <w:rFonts w:ascii="Times New Roman" w:hAnsi="Times New Roman" w:cs="Times New Roman"/>
        <w:color w:val="4C7563"/>
        <w:sz w:val="16"/>
        <w:szCs w:val="16"/>
        <w:lang w:eastAsia="cs-CZ"/>
      </w:rPr>
      <w:t>: 2020312833</w:t>
    </w:r>
    <w:r w:rsidRPr="0046064C">
      <w:rPr>
        <w:rFonts w:ascii="Times New Roman" w:hAnsi="Times New Roman" w:cs="Times New Roman"/>
        <w:color w:val="4C7563"/>
        <w:sz w:val="16"/>
        <w:szCs w:val="16"/>
        <w:lang w:eastAsia="cs-CZ"/>
      </w:rPr>
      <w:tab/>
    </w:r>
    <w:r>
      <w:rPr>
        <w:rFonts w:ascii="Times New Roman" w:hAnsi="Times New Roman" w:cs="Times New Roman"/>
        <w:color w:val="4C7563"/>
        <w:sz w:val="16"/>
        <w:szCs w:val="16"/>
        <w:lang w:eastAsia="cs-CZ"/>
      </w:rPr>
      <w:tab/>
    </w:r>
    <w:r w:rsidRPr="0046064C">
      <w:rPr>
        <w:rFonts w:ascii="Times New Roman" w:hAnsi="Times New Roman" w:cs="Times New Roman"/>
        <w:color w:val="4C7563"/>
        <w:sz w:val="16"/>
        <w:szCs w:val="16"/>
        <w:lang w:eastAsia="cs-CZ"/>
      </w:rPr>
      <w:t xml:space="preserve">Slovenská sporiteľňa, </w:t>
    </w:r>
    <w:proofErr w:type="spellStart"/>
    <w:r w:rsidRPr="0046064C">
      <w:rPr>
        <w:rFonts w:ascii="Times New Roman" w:hAnsi="Times New Roman" w:cs="Times New Roman"/>
        <w:color w:val="4C7563"/>
        <w:sz w:val="16"/>
        <w:szCs w:val="16"/>
        <w:lang w:eastAsia="cs-CZ"/>
      </w:rPr>
      <w:t>a.s</w:t>
    </w:r>
    <w:proofErr w:type="spellEnd"/>
    <w:r w:rsidRPr="0046064C">
      <w:rPr>
        <w:rFonts w:ascii="Times New Roman" w:hAnsi="Times New Roman" w:cs="Times New Roman"/>
        <w:color w:val="4C7563"/>
        <w:sz w:val="16"/>
        <w:szCs w:val="16"/>
        <w:lang w:eastAsia="cs-CZ"/>
      </w:rPr>
      <w:t>.</w:t>
    </w:r>
  </w:p>
  <w:p w:rsidR="0046064C" w:rsidRPr="0046064C" w:rsidRDefault="0046064C" w:rsidP="0046064C">
    <w:pPr>
      <w:tabs>
        <w:tab w:val="left" w:pos="3686"/>
        <w:tab w:val="left" w:pos="4253"/>
        <w:tab w:val="left" w:pos="4678"/>
        <w:tab w:val="left" w:pos="6379"/>
        <w:tab w:val="right" w:pos="9498"/>
      </w:tabs>
      <w:spacing w:after="0"/>
      <w:jc w:val="both"/>
      <w:rPr>
        <w:rFonts w:ascii="Times New Roman" w:hAnsi="Times New Roman" w:cs="Times New Roman"/>
        <w:color w:val="4C7563"/>
        <w:sz w:val="16"/>
        <w:szCs w:val="16"/>
        <w:lang w:eastAsia="cs-CZ"/>
      </w:rPr>
    </w:pPr>
    <w:r>
      <w:rPr>
        <w:rFonts w:ascii="Times New Roman" w:hAnsi="Times New Roman" w:cs="Times New Roman"/>
        <w:color w:val="4C7563"/>
        <w:sz w:val="16"/>
        <w:szCs w:val="16"/>
        <w:lang w:eastAsia="cs-CZ"/>
      </w:rPr>
      <w:t>reg. in</w:t>
    </w:r>
    <w:r w:rsidRPr="0046064C">
      <w:rPr>
        <w:rFonts w:ascii="Times New Roman" w:hAnsi="Times New Roman" w:cs="Times New Roman"/>
        <w:color w:val="4C7563"/>
        <w:sz w:val="16"/>
        <w:szCs w:val="16"/>
        <w:lang w:eastAsia="cs-CZ"/>
      </w:rPr>
      <w:t xml:space="preserve"> </w:t>
    </w:r>
    <w:proofErr w:type="spellStart"/>
    <w:r>
      <w:rPr>
        <w:rFonts w:ascii="Times New Roman" w:hAnsi="Times New Roman" w:cs="Times New Roman"/>
        <w:color w:val="4C7563"/>
        <w:sz w:val="16"/>
        <w:szCs w:val="16"/>
        <w:lang w:eastAsia="cs-CZ"/>
      </w:rPr>
      <w:t>Trade</w:t>
    </w:r>
    <w:proofErr w:type="spellEnd"/>
    <w:r>
      <w:rPr>
        <w:rFonts w:ascii="Times New Roman" w:hAnsi="Times New Roman" w:cs="Times New Roman"/>
        <w:color w:val="4C7563"/>
        <w:sz w:val="16"/>
        <w:szCs w:val="16"/>
        <w:lang w:eastAsia="cs-CZ"/>
      </w:rPr>
      <w:t xml:space="preserve"> Register of DC</w:t>
    </w:r>
    <w:r w:rsidRPr="0046064C">
      <w:rPr>
        <w:rFonts w:ascii="Times New Roman" w:hAnsi="Times New Roman" w:cs="Times New Roman"/>
        <w:color w:val="4C7563"/>
        <w:sz w:val="16"/>
        <w:szCs w:val="16"/>
        <w:lang w:eastAsia="cs-CZ"/>
      </w:rPr>
      <w:t xml:space="preserve"> Bratislava I</w:t>
    </w:r>
    <w:r>
      <w:rPr>
        <w:rFonts w:ascii="Times New Roman" w:hAnsi="Times New Roman" w:cs="Times New Roman"/>
        <w:color w:val="4C7563"/>
        <w:sz w:val="16"/>
        <w:szCs w:val="16"/>
        <w:lang w:eastAsia="cs-CZ"/>
      </w:rPr>
      <w:t> </w:t>
    </w:r>
    <w:r>
      <w:rPr>
        <w:rFonts w:ascii="Times New Roman" w:hAnsi="Times New Roman" w:cs="Times New Roman"/>
        <w:color w:val="4C7563"/>
        <w:sz w:val="16"/>
        <w:szCs w:val="16"/>
        <w:lang w:eastAsia="cs-CZ"/>
      </w:rPr>
      <w:tab/>
      <w:t xml:space="preserve">VAT </w:t>
    </w:r>
    <w:r w:rsidRPr="0046064C">
      <w:rPr>
        <w:rFonts w:ascii="Times New Roman" w:hAnsi="Times New Roman" w:cs="Times New Roman"/>
        <w:color w:val="4C7563"/>
        <w:sz w:val="16"/>
        <w:szCs w:val="16"/>
        <w:lang w:eastAsia="cs-CZ"/>
      </w:rPr>
      <w:t>ID: SK2020312833</w:t>
    </w:r>
    <w:r w:rsidRPr="0046064C">
      <w:rPr>
        <w:rFonts w:ascii="Times New Roman" w:hAnsi="Times New Roman" w:cs="Times New Roman"/>
        <w:color w:val="4C7563"/>
        <w:sz w:val="16"/>
        <w:szCs w:val="16"/>
        <w:lang w:eastAsia="cs-CZ"/>
      </w:rPr>
      <w:tab/>
      <w:t>IBAN: SK260900000000515999 9701</w:t>
    </w:r>
  </w:p>
  <w:p w:rsidR="0046064C" w:rsidRPr="0046064C" w:rsidRDefault="0046064C" w:rsidP="0046064C">
    <w:pPr>
      <w:tabs>
        <w:tab w:val="left" w:pos="3686"/>
        <w:tab w:val="left" w:pos="4253"/>
        <w:tab w:val="left" w:pos="6379"/>
        <w:tab w:val="right" w:pos="9498"/>
      </w:tabs>
      <w:spacing w:after="0" w:line="240" w:lineRule="auto"/>
      <w:jc w:val="both"/>
      <w:rPr>
        <w:rFonts w:ascii="Times New Roman" w:hAnsi="Times New Roman" w:cs="Times New Roman"/>
        <w:color w:val="4C7563"/>
        <w:sz w:val="16"/>
        <w:szCs w:val="16"/>
        <w:lang w:eastAsia="cs-CZ"/>
      </w:rPr>
    </w:pPr>
    <w:proofErr w:type="spellStart"/>
    <w:r>
      <w:rPr>
        <w:rFonts w:ascii="Times New Roman" w:hAnsi="Times New Roman" w:cs="Times New Roman"/>
        <w:color w:val="4C7563"/>
        <w:sz w:val="16"/>
        <w:szCs w:val="16"/>
        <w:lang w:eastAsia="cs-CZ"/>
      </w:rPr>
      <w:t>section</w:t>
    </w:r>
    <w:proofErr w:type="spellEnd"/>
    <w:r w:rsidRPr="0046064C">
      <w:rPr>
        <w:rFonts w:ascii="Times New Roman" w:hAnsi="Times New Roman" w:cs="Times New Roman"/>
        <w:color w:val="4C7563"/>
        <w:sz w:val="16"/>
        <w:szCs w:val="16"/>
        <w:lang w:eastAsia="cs-CZ"/>
      </w:rPr>
      <w:t xml:space="preserve">: Sa, </w:t>
    </w:r>
    <w:proofErr w:type="spellStart"/>
    <w:r>
      <w:rPr>
        <w:rFonts w:ascii="Times New Roman" w:hAnsi="Times New Roman" w:cs="Times New Roman"/>
        <w:color w:val="4C7563"/>
        <w:sz w:val="16"/>
        <w:szCs w:val="16"/>
        <w:lang w:eastAsia="cs-CZ"/>
      </w:rPr>
      <w:t>file</w:t>
    </w:r>
    <w:proofErr w:type="spellEnd"/>
    <w:r>
      <w:rPr>
        <w:rFonts w:ascii="Times New Roman" w:hAnsi="Times New Roman" w:cs="Times New Roman"/>
        <w:color w:val="4C7563"/>
        <w:sz w:val="16"/>
        <w:szCs w:val="16"/>
        <w:lang w:eastAsia="cs-CZ"/>
      </w:rPr>
      <w:t xml:space="preserve"> No</w:t>
    </w:r>
    <w:r w:rsidRPr="0046064C">
      <w:rPr>
        <w:rFonts w:ascii="Times New Roman" w:hAnsi="Times New Roman" w:cs="Times New Roman"/>
        <w:color w:val="4C7563"/>
        <w:sz w:val="16"/>
        <w:szCs w:val="16"/>
        <w:lang w:eastAsia="cs-CZ"/>
      </w:rPr>
      <w:t>. 493/B</w:t>
    </w:r>
    <w:r w:rsidRPr="0046064C">
      <w:rPr>
        <w:rFonts w:ascii="Times New Roman" w:hAnsi="Times New Roman" w:cs="Times New Roman"/>
        <w:color w:val="4C7563"/>
        <w:sz w:val="16"/>
        <w:szCs w:val="16"/>
        <w:lang w:eastAsia="cs-CZ"/>
      </w:rPr>
      <w:tab/>
    </w:r>
    <w:hyperlink r:id="rId1" w:history="1">
      <w:r w:rsidRPr="0046064C">
        <w:rPr>
          <w:rFonts w:ascii="Times New Roman" w:hAnsi="Times New Roman" w:cs="Times New Roman"/>
          <w:color w:val="4C7563"/>
          <w:sz w:val="16"/>
          <w:szCs w:val="16"/>
          <w:u w:val="single"/>
          <w:lang w:eastAsia="cs-CZ"/>
        </w:rPr>
        <w:t>www.cdcp.sk</w:t>
      </w:r>
    </w:hyperlink>
    <w:r w:rsidRPr="0046064C">
      <w:rPr>
        <w:rFonts w:ascii="Times New Roman" w:hAnsi="Times New Roman" w:cs="Times New Roman"/>
        <w:color w:val="4C7563"/>
        <w:sz w:val="16"/>
        <w:szCs w:val="16"/>
        <w:u w:val="single"/>
        <w:lang w:eastAsia="cs-CZ"/>
      </w:rPr>
      <w:t xml:space="preserve"> </w:t>
    </w:r>
    <w:r w:rsidRPr="0046064C">
      <w:rPr>
        <w:rFonts w:ascii="Times New Roman" w:hAnsi="Times New Roman" w:cs="Times New Roman"/>
        <w:color w:val="4C7563"/>
        <w:sz w:val="16"/>
        <w:szCs w:val="16"/>
        <w:lang w:eastAsia="cs-CZ"/>
      </w:rPr>
      <w:tab/>
      <w:t>BIC: GIBASKBX</w:t>
    </w:r>
  </w:p>
  <w:p w:rsidR="0046064C" w:rsidRPr="0046064C" w:rsidRDefault="0046064C" w:rsidP="0046064C">
    <w:pPr>
      <w:tabs>
        <w:tab w:val="left" w:pos="3686"/>
        <w:tab w:val="left" w:pos="4253"/>
        <w:tab w:val="left" w:pos="6379"/>
        <w:tab w:val="right" w:pos="9072"/>
      </w:tabs>
      <w:spacing w:after="0" w:line="240" w:lineRule="auto"/>
      <w:jc w:val="both"/>
      <w:rPr>
        <w:rFonts w:ascii="Times New Roman" w:hAnsi="Times New Roman" w:cs="Times New Roman"/>
        <w:color w:val="4C7563"/>
        <w:sz w:val="16"/>
        <w:szCs w:val="16"/>
        <w:lang w:eastAsia="cs-CZ"/>
      </w:rPr>
    </w:pPr>
    <w:proofErr w:type="spellStart"/>
    <w:r>
      <w:rPr>
        <w:rFonts w:ascii="Times New Roman" w:hAnsi="Times New Roman" w:cs="Times New Roman"/>
        <w:color w:val="4C7563"/>
        <w:sz w:val="16"/>
        <w:szCs w:val="16"/>
        <w:lang w:eastAsia="cs-CZ"/>
      </w:rPr>
      <w:t>pho</w:t>
    </w:r>
    <w:r w:rsidRPr="0046064C">
      <w:rPr>
        <w:rFonts w:ascii="Times New Roman" w:hAnsi="Times New Roman" w:cs="Times New Roman"/>
        <w:color w:val="4C7563"/>
        <w:sz w:val="16"/>
        <w:szCs w:val="16"/>
        <w:lang w:eastAsia="cs-CZ"/>
      </w:rPr>
      <w:t>n</w:t>
    </w:r>
    <w:r>
      <w:rPr>
        <w:rFonts w:ascii="Times New Roman" w:hAnsi="Times New Roman" w:cs="Times New Roman"/>
        <w:color w:val="4C7563"/>
        <w:sz w:val="16"/>
        <w:szCs w:val="16"/>
        <w:lang w:eastAsia="cs-CZ"/>
      </w:rPr>
      <w:t>e</w:t>
    </w:r>
    <w:proofErr w:type="spellEnd"/>
    <w:r w:rsidRPr="0046064C">
      <w:rPr>
        <w:rFonts w:ascii="Times New Roman" w:hAnsi="Times New Roman" w:cs="Times New Roman"/>
        <w:color w:val="4C7563"/>
        <w:sz w:val="16"/>
        <w:szCs w:val="16"/>
        <w:lang w:eastAsia="cs-CZ"/>
      </w:rPr>
      <w:t xml:space="preserve">: 00421/2/59395110 </w:t>
    </w:r>
    <w:r w:rsidRPr="0046064C">
      <w:rPr>
        <w:rFonts w:ascii="Times New Roman" w:hAnsi="Times New Roman" w:cs="Times New Roman"/>
        <w:color w:val="4C7563"/>
        <w:sz w:val="16"/>
        <w:szCs w:val="16"/>
        <w:lang w:eastAsia="cs-CZ"/>
      </w:rPr>
      <w:tab/>
      <w:t>Fax: 00421/2/ 5296 8755</w:t>
    </w:r>
  </w:p>
  <w:p w:rsidR="0046064C" w:rsidRPr="0046064C" w:rsidRDefault="0046064C" w:rsidP="0046064C">
    <w:pPr>
      <w:pStyle w:val="Pta"/>
      <w:tabs>
        <w:tab w:val="left" w:pos="4253"/>
        <w:tab w:val="left" w:pos="6379"/>
      </w:tabs>
      <w:ind w:left="-284"/>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378" w:rsidRDefault="00AE1378" w:rsidP="00387E72">
      <w:pPr>
        <w:spacing w:after="0" w:line="240" w:lineRule="auto"/>
      </w:pPr>
      <w:r>
        <w:separator/>
      </w:r>
    </w:p>
  </w:footnote>
  <w:footnote w:type="continuationSeparator" w:id="0">
    <w:p w:rsidR="00AE1378" w:rsidRDefault="00AE1378" w:rsidP="00387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E72" w:rsidRPr="00387E72" w:rsidRDefault="00387E72" w:rsidP="00387E72">
    <w:pPr>
      <w:pStyle w:val="Hlavika"/>
      <w:jc w:val="right"/>
      <w:rPr>
        <w:rFonts w:ascii="Times New Roman" w:hAnsi="Times New Roman" w:cs="Times New Roman"/>
        <w:sz w:val="20"/>
        <w:lang w:val="en-GB"/>
      </w:rPr>
    </w:pPr>
    <w:r w:rsidRPr="00387E72">
      <w:rPr>
        <w:rFonts w:ascii="Times New Roman" w:hAnsi="Times New Roman" w:cs="Times New Roman"/>
        <w:sz w:val="20"/>
        <w:lang w:val="en-GB"/>
      </w:rPr>
      <w:t>Policy for Managing Conflict of Interests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A67" w:rsidRDefault="00031A67">
    <w:pPr>
      <w:pStyle w:val="Hlavika"/>
    </w:pPr>
    <w:r w:rsidRPr="00031A67">
      <w:rPr>
        <w:noProof/>
      </w:rPr>
      <w:drawing>
        <wp:inline distT="0" distB="0" distL="0" distR="0">
          <wp:extent cx="5759450" cy="739801"/>
          <wp:effectExtent l="0" t="0" r="0" b="3175"/>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398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48D3"/>
    <w:multiLevelType w:val="multilevel"/>
    <w:tmpl w:val="FBC2E2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F6C2086"/>
    <w:multiLevelType w:val="multilevel"/>
    <w:tmpl w:val="FBC2E2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31D18C2"/>
    <w:multiLevelType w:val="multilevel"/>
    <w:tmpl w:val="FBC2E2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8F55678"/>
    <w:multiLevelType w:val="multilevel"/>
    <w:tmpl w:val="FBC2E2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D9079A0"/>
    <w:multiLevelType w:val="multilevel"/>
    <w:tmpl w:val="FBC2E2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40C0D45"/>
    <w:multiLevelType w:val="multilevel"/>
    <w:tmpl w:val="FBC2E2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4A16C7C"/>
    <w:multiLevelType w:val="multilevel"/>
    <w:tmpl w:val="FBC2E2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1857967"/>
    <w:multiLevelType w:val="hybridMultilevel"/>
    <w:tmpl w:val="5BAEA5C8"/>
    <w:lvl w:ilvl="0" w:tplc="041B000F">
      <w:start w:val="1"/>
      <w:numFmt w:val="decimal"/>
      <w:lvlText w:val="%1."/>
      <w:lvlJc w:val="left"/>
      <w:pPr>
        <w:ind w:left="720" w:hanging="360"/>
      </w:pPr>
      <w:rPr>
        <w:rFonts w:hint="default"/>
      </w:rPr>
    </w:lvl>
    <w:lvl w:ilvl="1" w:tplc="6F04648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27562E0"/>
    <w:multiLevelType w:val="hybridMultilevel"/>
    <w:tmpl w:val="DDE8CA06"/>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6B0203E6"/>
    <w:multiLevelType w:val="multilevel"/>
    <w:tmpl w:val="FBC2E2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6DE7086"/>
    <w:multiLevelType w:val="multilevel"/>
    <w:tmpl w:val="FBC2E2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8662AE3"/>
    <w:multiLevelType w:val="multilevel"/>
    <w:tmpl w:val="FBC2E2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E2F3704"/>
    <w:multiLevelType w:val="multilevel"/>
    <w:tmpl w:val="FBC2E2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7"/>
  </w:num>
  <w:num w:numId="3">
    <w:abstractNumId w:val="8"/>
  </w:num>
  <w:num w:numId="4">
    <w:abstractNumId w:val="5"/>
  </w:num>
  <w:num w:numId="5">
    <w:abstractNumId w:val="11"/>
  </w:num>
  <w:num w:numId="6">
    <w:abstractNumId w:val="0"/>
  </w:num>
  <w:num w:numId="7">
    <w:abstractNumId w:val="6"/>
  </w:num>
  <w:num w:numId="8">
    <w:abstractNumId w:val="1"/>
  </w:num>
  <w:num w:numId="9">
    <w:abstractNumId w:val="10"/>
  </w:num>
  <w:num w:numId="10">
    <w:abstractNumId w:val="9"/>
  </w:num>
  <w:num w:numId="11">
    <w:abstractNumId w:val="2"/>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391D"/>
    <w:rsid w:val="00031A67"/>
    <w:rsid w:val="00094BF0"/>
    <w:rsid w:val="00217D39"/>
    <w:rsid w:val="00387E72"/>
    <w:rsid w:val="0046064C"/>
    <w:rsid w:val="00740821"/>
    <w:rsid w:val="009F2CEF"/>
    <w:rsid w:val="00A0391D"/>
    <w:rsid w:val="00AD3EB3"/>
    <w:rsid w:val="00AE1378"/>
    <w:rsid w:val="00BD48D3"/>
    <w:rsid w:val="00EB76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46EC2"/>
  <w15:docId w15:val="{2CB25FDB-A476-44B0-9E50-AF5F8C52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EB76FB"/>
  </w:style>
  <w:style w:type="paragraph" w:styleId="Nadpis1">
    <w:name w:val="heading 1"/>
    <w:basedOn w:val="Normlny"/>
    <w:next w:val="Normlny"/>
    <w:link w:val="Nadpis1Char"/>
    <w:uiPriority w:val="9"/>
    <w:qFormat/>
    <w:rsid w:val="00217D39"/>
    <w:pPr>
      <w:keepNext/>
      <w:keepLines/>
      <w:spacing w:before="480" w:after="0"/>
      <w:jc w:val="center"/>
      <w:outlineLvl w:val="0"/>
    </w:pPr>
    <w:rPr>
      <w:rFonts w:asciiTheme="majorHAnsi" w:eastAsiaTheme="majorEastAsia" w:hAnsiTheme="majorHAnsi" w:cstheme="majorBidi"/>
      <w:b/>
      <w:bCs/>
      <w:sz w:val="24"/>
      <w:szCs w:val="28"/>
      <w:lang w:val="en-GB"/>
    </w:rPr>
  </w:style>
  <w:style w:type="paragraph" w:styleId="Nadpis2">
    <w:name w:val="heading 2"/>
    <w:basedOn w:val="Normlny"/>
    <w:next w:val="Normlny"/>
    <w:link w:val="Nadpis2Char"/>
    <w:uiPriority w:val="9"/>
    <w:unhideWhenUsed/>
    <w:qFormat/>
    <w:rsid w:val="00217D39"/>
    <w:pPr>
      <w:keepNext/>
      <w:keepLines/>
      <w:spacing w:after="240"/>
      <w:jc w:val="center"/>
      <w:outlineLvl w:val="1"/>
    </w:pPr>
    <w:rPr>
      <w:rFonts w:asciiTheme="majorHAnsi" w:eastAsiaTheme="majorEastAsia" w:hAnsiTheme="majorHAnsi" w:cstheme="majorBidi"/>
      <w:b/>
      <w:bCs/>
      <w:sz w:val="24"/>
      <w:szCs w:val="26"/>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9F2CEF"/>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59"/>
    <w:rsid w:val="009F2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AD3EB3"/>
    <w:pPr>
      <w:ind w:left="720"/>
      <w:contextualSpacing/>
    </w:pPr>
  </w:style>
  <w:style w:type="character" w:styleId="Hypertextovprepojenie">
    <w:name w:val="Hyperlink"/>
    <w:basedOn w:val="Predvolenpsmoodseku"/>
    <w:uiPriority w:val="99"/>
    <w:unhideWhenUsed/>
    <w:rsid w:val="00217D39"/>
    <w:rPr>
      <w:color w:val="0000FF" w:themeColor="hyperlink"/>
      <w:u w:val="single"/>
    </w:rPr>
  </w:style>
  <w:style w:type="character" w:customStyle="1" w:styleId="Nadpis1Char">
    <w:name w:val="Nadpis 1 Char"/>
    <w:basedOn w:val="Predvolenpsmoodseku"/>
    <w:link w:val="Nadpis1"/>
    <w:uiPriority w:val="9"/>
    <w:rsid w:val="00217D39"/>
    <w:rPr>
      <w:rFonts w:asciiTheme="majorHAnsi" w:eastAsiaTheme="majorEastAsia" w:hAnsiTheme="majorHAnsi" w:cstheme="majorBidi"/>
      <w:b/>
      <w:bCs/>
      <w:sz w:val="24"/>
      <w:szCs w:val="28"/>
      <w:lang w:val="en-GB"/>
    </w:rPr>
  </w:style>
  <w:style w:type="paragraph" w:styleId="Hlavikaobsahu">
    <w:name w:val="TOC Heading"/>
    <w:basedOn w:val="Nadpis1"/>
    <w:next w:val="Normlny"/>
    <w:uiPriority w:val="39"/>
    <w:semiHidden/>
    <w:unhideWhenUsed/>
    <w:qFormat/>
    <w:rsid w:val="00217D39"/>
    <w:pPr>
      <w:outlineLvl w:val="9"/>
    </w:pPr>
    <w:rPr>
      <w:lang w:val="en-US"/>
    </w:rPr>
  </w:style>
  <w:style w:type="character" w:customStyle="1" w:styleId="Nadpis2Char">
    <w:name w:val="Nadpis 2 Char"/>
    <w:basedOn w:val="Predvolenpsmoodseku"/>
    <w:link w:val="Nadpis2"/>
    <w:uiPriority w:val="9"/>
    <w:rsid w:val="00217D39"/>
    <w:rPr>
      <w:rFonts w:asciiTheme="majorHAnsi" w:eastAsiaTheme="majorEastAsia" w:hAnsiTheme="majorHAnsi" w:cstheme="majorBidi"/>
      <w:b/>
      <w:bCs/>
      <w:sz w:val="24"/>
      <w:szCs w:val="26"/>
      <w:lang w:val="en-GB"/>
    </w:rPr>
  </w:style>
  <w:style w:type="paragraph" w:styleId="Obsah2">
    <w:name w:val="toc 2"/>
    <w:basedOn w:val="Normlny"/>
    <w:next w:val="Normlny"/>
    <w:autoRedefine/>
    <w:uiPriority w:val="39"/>
    <w:unhideWhenUsed/>
    <w:rsid w:val="00217D39"/>
    <w:pPr>
      <w:spacing w:after="100"/>
      <w:ind w:left="220"/>
    </w:pPr>
  </w:style>
  <w:style w:type="paragraph" w:styleId="Obsah1">
    <w:name w:val="toc 1"/>
    <w:basedOn w:val="Normlny"/>
    <w:next w:val="Normlny"/>
    <w:autoRedefine/>
    <w:uiPriority w:val="39"/>
    <w:unhideWhenUsed/>
    <w:rsid w:val="00217D39"/>
    <w:pPr>
      <w:spacing w:after="100"/>
    </w:pPr>
  </w:style>
  <w:style w:type="paragraph" w:styleId="Hlavika">
    <w:name w:val="header"/>
    <w:basedOn w:val="Normlny"/>
    <w:link w:val="HlavikaChar"/>
    <w:uiPriority w:val="99"/>
    <w:semiHidden/>
    <w:unhideWhenUsed/>
    <w:rsid w:val="00387E72"/>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387E72"/>
  </w:style>
  <w:style w:type="paragraph" w:styleId="Pta">
    <w:name w:val="footer"/>
    <w:basedOn w:val="Normlny"/>
    <w:link w:val="PtaChar"/>
    <w:uiPriority w:val="99"/>
    <w:unhideWhenUsed/>
    <w:rsid w:val="00387E72"/>
    <w:pPr>
      <w:tabs>
        <w:tab w:val="center" w:pos="4536"/>
        <w:tab w:val="right" w:pos="9072"/>
      </w:tabs>
      <w:spacing w:after="0" w:line="240" w:lineRule="auto"/>
    </w:pPr>
  </w:style>
  <w:style w:type="character" w:customStyle="1" w:styleId="PtaChar">
    <w:name w:val="Päta Char"/>
    <w:basedOn w:val="Predvolenpsmoodseku"/>
    <w:link w:val="Pta"/>
    <w:uiPriority w:val="99"/>
    <w:rsid w:val="00387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p.s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dcp.sk" TargetMode="External"/><Relationship Id="rId4" Type="http://schemas.openxmlformats.org/officeDocument/2006/relationships/settings" Target="settings.xml"/><Relationship Id="rId9" Type="http://schemas.openxmlformats.org/officeDocument/2006/relationships/hyperlink" Target="http://www.cdcp.s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45AD8-ECBF-4053-A86E-EC821B137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2001</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Nagyová Vladimíra Mgr.</cp:lastModifiedBy>
  <cp:revision>5</cp:revision>
  <dcterms:created xsi:type="dcterms:W3CDTF">2021-01-29T12:48:00Z</dcterms:created>
  <dcterms:modified xsi:type="dcterms:W3CDTF">2022-08-30T13:31:00Z</dcterms:modified>
</cp:coreProperties>
</file>