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E0" w:rsidRDefault="00025CE0" w:rsidP="001331E3">
      <w:pPr>
        <w:spacing w:after="160" w:line="259" w:lineRule="auto"/>
        <w:rPr>
          <w:b/>
          <w:sz w:val="32"/>
          <w:szCs w:val="32"/>
        </w:rPr>
      </w:pPr>
    </w:p>
    <w:p w:rsidR="001331E3" w:rsidRPr="005C0457" w:rsidRDefault="006D499C" w:rsidP="006D499C">
      <w:pPr>
        <w:pStyle w:val="Zkladntext"/>
        <w:tabs>
          <w:tab w:val="left" w:pos="-567"/>
        </w:tabs>
        <w:ind w:left="-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inline distT="0" distB="0" distL="0" distR="0">
            <wp:extent cx="6099717" cy="780220"/>
            <wp:effectExtent l="0" t="0" r="0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93" cy="78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E3" w:rsidRDefault="001331E3" w:rsidP="00C5181C">
      <w:pPr>
        <w:pStyle w:val="Obsah1"/>
      </w:pPr>
    </w:p>
    <w:p w:rsidR="001331E3" w:rsidRDefault="001331E3" w:rsidP="001331E3"/>
    <w:p w:rsidR="001331E3" w:rsidRDefault="001331E3" w:rsidP="001331E3">
      <w:pPr>
        <w:jc w:val="center"/>
      </w:pPr>
    </w:p>
    <w:p w:rsidR="001331E3" w:rsidRDefault="001331E3" w:rsidP="001331E3"/>
    <w:p w:rsidR="001331E3" w:rsidRDefault="001331E3" w:rsidP="001331E3">
      <w:pPr>
        <w:rPr>
          <w:b/>
          <w:sz w:val="32"/>
          <w:szCs w:val="32"/>
        </w:rPr>
      </w:pPr>
    </w:p>
    <w:p w:rsidR="001331E3" w:rsidRPr="007A2AE8" w:rsidRDefault="001331E3" w:rsidP="001331E3"/>
    <w:p w:rsidR="00F153DF" w:rsidRDefault="00F153DF" w:rsidP="00F153DF">
      <w:pPr>
        <w:rPr>
          <w:b/>
          <w:sz w:val="32"/>
          <w:szCs w:val="32"/>
        </w:rPr>
      </w:pPr>
    </w:p>
    <w:p w:rsidR="00F153DF" w:rsidRPr="007A2AE8" w:rsidRDefault="00F153DF" w:rsidP="00F153DF"/>
    <w:p w:rsidR="00F153DF" w:rsidRPr="00284D99" w:rsidRDefault="00F153DF" w:rsidP="00F153DF">
      <w:pPr>
        <w:pStyle w:val="Zkladntext"/>
        <w:jc w:val="center"/>
        <w:rPr>
          <w:b/>
          <w:bCs/>
          <w:sz w:val="32"/>
          <w:szCs w:val="44"/>
        </w:rPr>
      </w:pPr>
      <w:r w:rsidRPr="00284D99">
        <w:rPr>
          <w:b/>
          <w:bCs/>
          <w:sz w:val="32"/>
          <w:szCs w:val="44"/>
        </w:rPr>
        <w:t>POLITIKA</w:t>
      </w:r>
    </w:p>
    <w:p w:rsidR="00F153DF" w:rsidRPr="00284D99" w:rsidRDefault="00F153DF" w:rsidP="00F153DF">
      <w:pPr>
        <w:pStyle w:val="Zkladntext"/>
        <w:jc w:val="center"/>
        <w:rPr>
          <w:b/>
          <w:bCs/>
          <w:sz w:val="32"/>
          <w:szCs w:val="44"/>
        </w:rPr>
      </w:pPr>
      <w:r w:rsidRPr="00284D99">
        <w:rPr>
          <w:b/>
          <w:bCs/>
          <w:sz w:val="32"/>
          <w:szCs w:val="44"/>
        </w:rPr>
        <w:t>RIADENIA KONFLIKTU ZÁUJMOV</w:t>
      </w:r>
    </w:p>
    <w:p w:rsidR="00F153DF" w:rsidRPr="00136CDB" w:rsidRDefault="00F153DF" w:rsidP="00F153DF">
      <w:pPr>
        <w:pStyle w:val="Zkladntext"/>
        <w:tabs>
          <w:tab w:val="left" w:pos="4035"/>
        </w:tabs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F153DF" w:rsidRDefault="00F153DF" w:rsidP="00F153DF">
      <w:pPr>
        <w:jc w:val="center"/>
        <w:rPr>
          <w:sz w:val="32"/>
          <w:szCs w:val="32"/>
        </w:rPr>
      </w:pPr>
      <w:r w:rsidRPr="00284D99">
        <w:rPr>
          <w:b/>
          <w:bCs/>
          <w:sz w:val="28"/>
          <w:szCs w:val="32"/>
        </w:rPr>
        <w:t>v podmienkach Centrálneho depozitára cenných papierov SR, a.s.</w:t>
      </w:r>
    </w:p>
    <w:p w:rsidR="00F153DF" w:rsidRDefault="00F153DF" w:rsidP="00F153DF">
      <w:pPr>
        <w:rPr>
          <w:sz w:val="32"/>
          <w:szCs w:val="32"/>
        </w:rPr>
      </w:pPr>
    </w:p>
    <w:p w:rsidR="00F153DF" w:rsidRDefault="00F153DF" w:rsidP="00DF4466">
      <w:pPr>
        <w:pStyle w:val="doc-ti"/>
        <w:spacing w:before="0" w:after="0"/>
        <w:rPr>
          <w:b w:val="0"/>
          <w:spacing w:val="20"/>
        </w:rPr>
      </w:pPr>
    </w:p>
    <w:p w:rsidR="00F153DF" w:rsidRDefault="00F153DF" w:rsidP="00DF4466">
      <w:pPr>
        <w:pStyle w:val="doc-ti"/>
        <w:spacing w:before="0" w:after="0"/>
        <w:rPr>
          <w:b w:val="0"/>
          <w:spacing w:val="20"/>
        </w:rPr>
      </w:pPr>
    </w:p>
    <w:p w:rsidR="00F153DF" w:rsidRDefault="00F153DF" w:rsidP="00DF4466">
      <w:pPr>
        <w:pStyle w:val="doc-ti"/>
        <w:spacing w:before="0" w:after="0"/>
        <w:rPr>
          <w:b w:val="0"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8514EC" w:rsidP="008514EC">
      <w:pPr>
        <w:rPr>
          <w:bCs/>
          <w:spacing w:val="20"/>
        </w:rPr>
      </w:pPr>
    </w:p>
    <w:p w:rsidR="008514EC" w:rsidRDefault="00DE044A" w:rsidP="008514EC">
      <w:pPr>
        <w:rPr>
          <w:b/>
        </w:rPr>
      </w:pPr>
      <w:r>
        <w:rPr>
          <w:b/>
        </w:rPr>
        <w:t xml:space="preserve"> </w:t>
      </w:r>
      <w:r w:rsidR="00A80692">
        <w:rPr>
          <w:b/>
        </w:rPr>
        <w:t>24</w:t>
      </w:r>
      <w:r>
        <w:rPr>
          <w:b/>
        </w:rPr>
        <w:t>.</w:t>
      </w:r>
      <w:r w:rsidR="00A80692">
        <w:rPr>
          <w:b/>
        </w:rPr>
        <w:t>08</w:t>
      </w:r>
      <w:r>
        <w:rPr>
          <w:b/>
        </w:rPr>
        <w:t>.202</w:t>
      </w:r>
      <w:r w:rsidR="006677E2">
        <w:rPr>
          <w:b/>
        </w:rPr>
        <w:t>2</w:t>
      </w:r>
    </w:p>
    <w:p w:rsidR="008514EC" w:rsidRDefault="008514EC" w:rsidP="008514EC">
      <w:pPr>
        <w:rPr>
          <w:b/>
        </w:rPr>
      </w:pPr>
    </w:p>
    <w:p w:rsidR="008514EC" w:rsidRDefault="008514EC" w:rsidP="008514EC">
      <w:pPr>
        <w:pBdr>
          <w:bottom w:val="single" w:sz="12" w:space="1" w:color="auto"/>
        </w:pBdr>
        <w:rPr>
          <w:b/>
        </w:rPr>
      </w:pPr>
    </w:p>
    <w:p w:rsidR="008514EC" w:rsidRDefault="008514EC" w:rsidP="008514EC">
      <w:pPr>
        <w:pBdr>
          <w:bottom w:val="single" w:sz="12" w:space="1" w:color="auto"/>
        </w:pBdr>
        <w:rPr>
          <w:b/>
        </w:rPr>
      </w:pPr>
    </w:p>
    <w:p w:rsidR="008514EC" w:rsidRDefault="008514EC" w:rsidP="008514EC">
      <w:pPr>
        <w:pBdr>
          <w:bottom w:val="single" w:sz="12" w:space="1" w:color="auto"/>
        </w:pBdr>
        <w:rPr>
          <w:b/>
        </w:rPr>
      </w:pPr>
    </w:p>
    <w:p w:rsidR="00234C40" w:rsidRDefault="00234C40" w:rsidP="00234C40">
      <w:pPr>
        <w:tabs>
          <w:tab w:val="left" w:pos="3686"/>
          <w:tab w:val="left" w:pos="4253"/>
          <w:tab w:val="center" w:pos="5670"/>
          <w:tab w:val="left" w:pos="6379"/>
          <w:tab w:val="right" w:pos="9498"/>
        </w:tabs>
        <w:rPr>
          <w:color w:val="595959" w:themeColor="text1" w:themeTint="A6"/>
          <w:sz w:val="16"/>
          <w:szCs w:val="16"/>
          <w:lang w:eastAsia="cs-CZ"/>
        </w:rPr>
      </w:pPr>
    </w:p>
    <w:p w:rsidR="00234C40" w:rsidRPr="00395DC8" w:rsidRDefault="00234C40" w:rsidP="00234C40">
      <w:pPr>
        <w:tabs>
          <w:tab w:val="left" w:pos="3686"/>
          <w:tab w:val="left" w:pos="4253"/>
          <w:tab w:val="center" w:pos="5670"/>
          <w:tab w:val="left" w:pos="6379"/>
          <w:tab w:val="right" w:pos="9498"/>
        </w:tabs>
        <w:rPr>
          <w:color w:val="595959" w:themeColor="text1" w:themeTint="A6"/>
          <w:sz w:val="16"/>
          <w:szCs w:val="16"/>
          <w:lang w:eastAsia="cs-CZ"/>
        </w:rPr>
      </w:pPr>
      <w:r w:rsidRPr="00395DC8">
        <w:rPr>
          <w:color w:val="595959" w:themeColor="text1" w:themeTint="A6"/>
          <w:sz w:val="16"/>
          <w:szCs w:val="16"/>
          <w:lang w:eastAsia="cs-CZ"/>
        </w:rPr>
        <w:t>Centrálny depozitár cenných papierov SR, a.s.</w:t>
      </w:r>
      <w:r w:rsidRPr="00395DC8">
        <w:rPr>
          <w:color w:val="595959" w:themeColor="text1" w:themeTint="A6"/>
          <w:sz w:val="16"/>
          <w:szCs w:val="16"/>
          <w:lang w:eastAsia="cs-CZ"/>
        </w:rPr>
        <w:tab/>
      </w:r>
      <w:r w:rsidRPr="00395DC8">
        <w:rPr>
          <w:color w:val="595959" w:themeColor="text1" w:themeTint="A6"/>
          <w:sz w:val="16"/>
          <w:szCs w:val="16"/>
          <w:lang w:eastAsia="cs-CZ"/>
        </w:rPr>
        <w:tab/>
        <w:t>IČO: 31 338 976</w:t>
      </w:r>
      <w:r w:rsidRPr="00395DC8">
        <w:rPr>
          <w:color w:val="595959" w:themeColor="text1" w:themeTint="A6"/>
          <w:sz w:val="16"/>
          <w:szCs w:val="16"/>
          <w:lang w:eastAsia="cs-CZ"/>
        </w:rPr>
        <w:tab/>
      </w:r>
      <w:r w:rsidRPr="00395DC8">
        <w:rPr>
          <w:color w:val="595959" w:themeColor="text1" w:themeTint="A6"/>
          <w:sz w:val="16"/>
          <w:szCs w:val="16"/>
          <w:lang w:eastAsia="cs-CZ"/>
        </w:rPr>
        <w:tab/>
        <w:t>Bankové spojenie</w:t>
      </w:r>
    </w:p>
    <w:p w:rsidR="00234C40" w:rsidRPr="00395DC8" w:rsidRDefault="00234C40" w:rsidP="00234C40">
      <w:pPr>
        <w:tabs>
          <w:tab w:val="left" w:pos="3686"/>
          <w:tab w:val="left" w:pos="4253"/>
          <w:tab w:val="left" w:pos="6379"/>
          <w:tab w:val="right" w:pos="9498"/>
        </w:tabs>
        <w:rPr>
          <w:color w:val="595959" w:themeColor="text1" w:themeTint="A6"/>
          <w:sz w:val="16"/>
          <w:szCs w:val="16"/>
          <w:lang w:eastAsia="cs-CZ"/>
        </w:rPr>
      </w:pPr>
      <w:r w:rsidRPr="00395DC8">
        <w:rPr>
          <w:color w:val="595959" w:themeColor="text1" w:themeTint="A6"/>
          <w:sz w:val="16"/>
          <w:szCs w:val="16"/>
          <w:lang w:eastAsia="cs-CZ"/>
        </w:rPr>
        <w:t>ul. 29. Augusta 1/A, 814 80 Bratislava I</w:t>
      </w:r>
      <w:r w:rsidRPr="00395DC8">
        <w:rPr>
          <w:color w:val="595959" w:themeColor="text1" w:themeTint="A6"/>
          <w:sz w:val="16"/>
          <w:szCs w:val="16"/>
          <w:lang w:eastAsia="cs-CZ"/>
        </w:rPr>
        <w:tab/>
      </w:r>
      <w:r w:rsidRPr="00395DC8">
        <w:rPr>
          <w:color w:val="595959" w:themeColor="text1" w:themeTint="A6"/>
          <w:sz w:val="16"/>
          <w:szCs w:val="16"/>
          <w:lang w:eastAsia="cs-CZ"/>
        </w:rPr>
        <w:tab/>
        <w:t>DIČ: 2020312833</w:t>
      </w:r>
      <w:r w:rsidRPr="00395DC8">
        <w:rPr>
          <w:color w:val="595959" w:themeColor="text1" w:themeTint="A6"/>
          <w:sz w:val="16"/>
          <w:szCs w:val="16"/>
          <w:lang w:eastAsia="cs-CZ"/>
        </w:rPr>
        <w:tab/>
      </w:r>
      <w:r w:rsidRPr="00395DC8">
        <w:rPr>
          <w:rFonts w:eastAsia="Calibri"/>
          <w:color w:val="595959"/>
          <w:sz w:val="16"/>
          <w:szCs w:val="16"/>
          <w:lang w:eastAsia="cs-CZ"/>
        </w:rPr>
        <w:t>Slovenská sporiteľňa, a.s.</w:t>
      </w:r>
    </w:p>
    <w:p w:rsidR="00234C40" w:rsidRPr="00395DC8" w:rsidRDefault="00234C40" w:rsidP="00234C40">
      <w:pPr>
        <w:tabs>
          <w:tab w:val="left" w:pos="3686"/>
          <w:tab w:val="left" w:pos="4253"/>
          <w:tab w:val="left" w:pos="6379"/>
          <w:tab w:val="right" w:pos="9498"/>
        </w:tabs>
        <w:rPr>
          <w:color w:val="595959" w:themeColor="text1" w:themeTint="A6"/>
          <w:sz w:val="16"/>
          <w:szCs w:val="16"/>
          <w:lang w:eastAsia="cs-CZ"/>
        </w:rPr>
      </w:pPr>
      <w:r w:rsidRPr="00395DC8">
        <w:rPr>
          <w:color w:val="595959" w:themeColor="text1" w:themeTint="A6"/>
          <w:sz w:val="16"/>
          <w:szCs w:val="16"/>
          <w:lang w:eastAsia="cs-CZ"/>
        </w:rPr>
        <w:t>zapísaný v Obchodnom registri Okresného súdu Bratislava I</w:t>
      </w:r>
      <w:r w:rsidRPr="00395DC8">
        <w:rPr>
          <w:color w:val="595959" w:themeColor="text1" w:themeTint="A6"/>
          <w:sz w:val="16"/>
          <w:szCs w:val="16"/>
          <w:lang w:eastAsia="cs-CZ"/>
        </w:rPr>
        <w:tab/>
        <w:t>IČ DPH: SK2020312833</w:t>
      </w:r>
      <w:r w:rsidRPr="00395DC8">
        <w:rPr>
          <w:color w:val="595959" w:themeColor="text1" w:themeTint="A6"/>
          <w:sz w:val="16"/>
          <w:szCs w:val="16"/>
          <w:lang w:eastAsia="cs-CZ"/>
        </w:rPr>
        <w:tab/>
      </w:r>
      <w:r w:rsidRPr="00395DC8">
        <w:rPr>
          <w:rFonts w:eastAsia="Calibri"/>
          <w:color w:val="595959"/>
          <w:sz w:val="16"/>
          <w:szCs w:val="16"/>
          <w:lang w:eastAsia="cs-CZ"/>
        </w:rPr>
        <w:t>IBAN: SK26 0900 0000 0051 5999 9701</w:t>
      </w:r>
    </w:p>
    <w:p w:rsidR="00234C40" w:rsidRPr="00395DC8" w:rsidRDefault="00234C40" w:rsidP="00234C40">
      <w:pPr>
        <w:tabs>
          <w:tab w:val="left" w:pos="4253"/>
          <w:tab w:val="left" w:pos="4536"/>
          <w:tab w:val="left" w:pos="6379"/>
          <w:tab w:val="right" w:pos="9498"/>
        </w:tabs>
        <w:rPr>
          <w:color w:val="595959" w:themeColor="text1" w:themeTint="A6"/>
          <w:sz w:val="16"/>
          <w:szCs w:val="16"/>
          <w:lang w:eastAsia="cs-CZ"/>
        </w:rPr>
      </w:pPr>
      <w:r w:rsidRPr="00395DC8">
        <w:rPr>
          <w:color w:val="595959" w:themeColor="text1" w:themeTint="A6"/>
          <w:sz w:val="16"/>
          <w:szCs w:val="16"/>
          <w:lang w:eastAsia="cs-CZ"/>
        </w:rPr>
        <w:t>oddiel: Sa, vložka č. 493/B</w:t>
      </w:r>
      <w:r w:rsidRPr="00395DC8">
        <w:rPr>
          <w:color w:val="595959" w:themeColor="text1" w:themeTint="A6"/>
          <w:sz w:val="16"/>
          <w:szCs w:val="16"/>
          <w:lang w:eastAsia="cs-CZ"/>
        </w:rPr>
        <w:tab/>
      </w:r>
      <w:hyperlink r:id="rId9" w:history="1">
        <w:r w:rsidRPr="00395DC8">
          <w:rPr>
            <w:color w:val="595959" w:themeColor="text1" w:themeTint="A6"/>
            <w:sz w:val="16"/>
            <w:szCs w:val="16"/>
            <w:u w:val="single"/>
            <w:lang w:eastAsia="cs-CZ"/>
          </w:rPr>
          <w:t>www.cdcp.sk</w:t>
        </w:r>
      </w:hyperlink>
      <w:r w:rsidRPr="00395DC8">
        <w:rPr>
          <w:color w:val="595959" w:themeColor="text1" w:themeTint="A6"/>
          <w:sz w:val="16"/>
          <w:szCs w:val="16"/>
          <w:u w:val="single"/>
          <w:lang w:eastAsia="cs-CZ"/>
        </w:rPr>
        <w:t xml:space="preserve"> </w:t>
      </w:r>
      <w:r w:rsidRPr="00395DC8">
        <w:rPr>
          <w:color w:val="595959" w:themeColor="text1" w:themeTint="A6"/>
          <w:sz w:val="16"/>
          <w:szCs w:val="16"/>
          <w:lang w:eastAsia="cs-CZ"/>
        </w:rPr>
        <w:tab/>
      </w:r>
      <w:r w:rsidRPr="00395DC8">
        <w:rPr>
          <w:rFonts w:eastAsia="Calibri"/>
          <w:color w:val="595959"/>
          <w:sz w:val="16"/>
          <w:szCs w:val="16"/>
          <w:lang w:eastAsia="cs-CZ"/>
        </w:rPr>
        <w:t>BIC: GIBASKBX</w:t>
      </w:r>
    </w:p>
    <w:p w:rsidR="00F153DF" w:rsidRDefault="00234C40" w:rsidP="00234C40">
      <w:pPr>
        <w:tabs>
          <w:tab w:val="left" w:pos="4253"/>
          <w:tab w:val="right" w:pos="9072"/>
        </w:tabs>
        <w:rPr>
          <w:bCs/>
          <w:spacing w:val="20"/>
        </w:rPr>
      </w:pPr>
      <w:r w:rsidRPr="00395DC8">
        <w:rPr>
          <w:color w:val="595959" w:themeColor="text1" w:themeTint="A6"/>
          <w:sz w:val="16"/>
          <w:szCs w:val="16"/>
          <w:lang w:eastAsia="cs-CZ"/>
        </w:rPr>
        <w:t xml:space="preserve">Telefón: 00421/2/59395110 </w:t>
      </w:r>
      <w:r w:rsidRPr="00395DC8">
        <w:rPr>
          <w:color w:val="595959" w:themeColor="text1" w:themeTint="A6"/>
          <w:sz w:val="16"/>
          <w:szCs w:val="16"/>
          <w:lang w:eastAsia="cs-CZ"/>
        </w:rPr>
        <w:tab/>
        <w:t>Fax: 00421/2/ 5296 8755</w:t>
      </w:r>
    </w:p>
    <w:p w:rsidR="0096258C" w:rsidRDefault="001B62A7" w:rsidP="0096258C">
      <w:pPr>
        <w:pStyle w:val="Hlavikaobsahu"/>
        <w:rPr>
          <w:noProof/>
          <w:color w:val="FF0000"/>
        </w:rPr>
      </w:pPr>
      <w:r>
        <w:rPr>
          <w:noProof/>
          <w:color w:val="FF0000"/>
        </w:rPr>
        <w:br w:type="page"/>
      </w:r>
      <w:bookmarkStart w:id="0" w:name="_Toc480460980"/>
    </w:p>
    <w:p w:rsidR="00C5181C" w:rsidRPr="007E51FF" w:rsidRDefault="00C5181C" w:rsidP="00C5181C">
      <w:pPr>
        <w:pStyle w:val="Hlavikaobsahu"/>
        <w:rPr>
          <w:sz w:val="32"/>
        </w:rPr>
      </w:pPr>
    </w:p>
    <w:p w:rsidR="007E51FF" w:rsidRDefault="007E51FF" w:rsidP="00C5181C">
      <w:pPr>
        <w:tabs>
          <w:tab w:val="left" w:pos="8789"/>
        </w:tabs>
        <w:spacing w:line="360" w:lineRule="auto"/>
        <w:rPr>
          <w:rFonts w:eastAsiaTheme="minorEastAsia"/>
          <w:b/>
          <w:sz w:val="28"/>
          <w:lang w:eastAsia="en-US"/>
        </w:rPr>
      </w:pPr>
      <w:r w:rsidRPr="007E51FF">
        <w:rPr>
          <w:rFonts w:eastAsiaTheme="minorEastAsia"/>
          <w:b/>
          <w:sz w:val="28"/>
          <w:lang w:eastAsia="en-US"/>
        </w:rPr>
        <w:t>Obsah</w:t>
      </w:r>
    </w:p>
    <w:p w:rsidR="007E51FF" w:rsidRPr="007E51FF" w:rsidRDefault="007E51FF" w:rsidP="00C5181C">
      <w:pPr>
        <w:tabs>
          <w:tab w:val="left" w:pos="8789"/>
        </w:tabs>
        <w:spacing w:line="360" w:lineRule="auto"/>
        <w:rPr>
          <w:rFonts w:eastAsiaTheme="minorEastAsia"/>
          <w:b/>
          <w:sz w:val="28"/>
          <w:lang w:eastAsia="en-US"/>
        </w:rPr>
      </w:pPr>
    </w:p>
    <w:p w:rsidR="007E51FF" w:rsidRDefault="007E51FF" w:rsidP="00C5181C">
      <w:pPr>
        <w:tabs>
          <w:tab w:val="left" w:pos="8789"/>
        </w:tabs>
        <w:spacing w:line="360" w:lineRule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Definície pojmov ................</w:t>
      </w:r>
      <w:r w:rsidRPr="00C5181C">
        <w:rPr>
          <w:rFonts w:eastAsiaTheme="minorEastAsia"/>
          <w:lang w:eastAsia="en-US"/>
        </w:rPr>
        <w:t>.......................................................................</w:t>
      </w:r>
      <w:r>
        <w:rPr>
          <w:rFonts w:eastAsiaTheme="minorEastAsia"/>
          <w:lang w:eastAsia="en-US"/>
        </w:rPr>
        <w:t>...</w:t>
      </w:r>
      <w:r w:rsidRPr="00C5181C">
        <w:rPr>
          <w:rFonts w:eastAsiaTheme="minorEastAsia"/>
          <w:lang w:eastAsia="en-US"/>
        </w:rPr>
        <w:t>..............................</w:t>
      </w:r>
      <w:r>
        <w:rPr>
          <w:rFonts w:eastAsiaTheme="minorEastAsia"/>
          <w:lang w:eastAsia="en-US"/>
        </w:rPr>
        <w:t>3</w:t>
      </w:r>
    </w:p>
    <w:p w:rsidR="00C5181C" w:rsidRPr="00C5181C" w:rsidRDefault="00C5181C" w:rsidP="00C5181C">
      <w:pPr>
        <w:tabs>
          <w:tab w:val="left" w:pos="8789"/>
        </w:tabs>
        <w:spacing w:line="360" w:lineRule="auto"/>
        <w:rPr>
          <w:rFonts w:eastAsiaTheme="minorEastAsia"/>
          <w:lang w:eastAsia="en-US"/>
        </w:rPr>
      </w:pPr>
      <w:r w:rsidRPr="00C5181C">
        <w:rPr>
          <w:rFonts w:eastAsiaTheme="minorEastAsia"/>
          <w:lang w:eastAsia="en-US"/>
        </w:rPr>
        <w:t>Použité skratky ..........................................................................................</w:t>
      </w:r>
      <w:r>
        <w:rPr>
          <w:rFonts w:eastAsiaTheme="minorEastAsia"/>
          <w:lang w:eastAsia="en-US"/>
        </w:rPr>
        <w:t>...</w:t>
      </w:r>
      <w:r w:rsidRPr="00C5181C">
        <w:rPr>
          <w:rFonts w:eastAsiaTheme="minorEastAsia"/>
          <w:lang w:eastAsia="en-US"/>
        </w:rPr>
        <w:t>..............................4</w:t>
      </w:r>
    </w:p>
    <w:p w:rsidR="00C5181C" w:rsidRPr="00C5181C" w:rsidRDefault="00C5181C" w:rsidP="00C5181C">
      <w:pPr>
        <w:pStyle w:val="Obsah1"/>
        <w:rPr>
          <w:rStyle w:val="Hypertextovprepojenie"/>
          <w:b w:val="0"/>
          <w:color w:val="auto"/>
          <w:u w:val="none"/>
        </w:rPr>
      </w:pPr>
      <w:r w:rsidRPr="00C5181C">
        <w:rPr>
          <w:rStyle w:val="Hypertextovprepojenie"/>
          <w:b w:val="0"/>
          <w:color w:val="auto"/>
          <w:u w:val="none"/>
        </w:rPr>
        <w:t>Článok I ......................................................................</w:t>
      </w:r>
      <w:r w:rsidR="007E51FF">
        <w:rPr>
          <w:rStyle w:val="Hypertextovprepojenie"/>
          <w:b w:val="0"/>
          <w:color w:val="auto"/>
          <w:u w:val="none"/>
        </w:rPr>
        <w:t>.</w:t>
      </w:r>
      <w:r w:rsidRPr="00C5181C">
        <w:rPr>
          <w:rStyle w:val="Hypertextovprepojenie"/>
          <w:b w:val="0"/>
          <w:color w:val="auto"/>
          <w:u w:val="none"/>
        </w:rPr>
        <w:t>...........................</w:t>
      </w:r>
      <w:r w:rsidR="007E51FF">
        <w:rPr>
          <w:rStyle w:val="Hypertextovprepojenie"/>
          <w:b w:val="0"/>
          <w:color w:val="auto"/>
          <w:u w:val="none"/>
        </w:rPr>
        <w:t>.</w:t>
      </w:r>
      <w:r w:rsidRPr="00C5181C">
        <w:rPr>
          <w:rStyle w:val="Hypertextovprepojenie"/>
          <w:b w:val="0"/>
          <w:color w:val="auto"/>
          <w:u w:val="none"/>
        </w:rPr>
        <w:t>................</w:t>
      </w:r>
      <w:r w:rsidR="007E51FF">
        <w:rPr>
          <w:rStyle w:val="Hypertextovprepojenie"/>
          <w:b w:val="0"/>
          <w:color w:val="auto"/>
          <w:u w:val="none"/>
        </w:rPr>
        <w:t>.</w:t>
      </w:r>
      <w:r w:rsidRPr="00C5181C">
        <w:rPr>
          <w:rStyle w:val="Hypertextovprepojenie"/>
          <w:b w:val="0"/>
          <w:color w:val="auto"/>
          <w:u w:val="none"/>
        </w:rPr>
        <w:t>..................5</w:t>
      </w:r>
    </w:p>
    <w:p w:rsidR="00C5181C" w:rsidRPr="00C5181C" w:rsidRDefault="00C5181C" w:rsidP="00C5181C">
      <w:pPr>
        <w:pStyle w:val="Obsah1"/>
        <w:rPr>
          <w:rStyle w:val="Hypertextovprepojenie"/>
          <w:b w:val="0"/>
          <w:color w:val="auto"/>
          <w:u w:val="none"/>
        </w:rPr>
      </w:pPr>
      <w:r w:rsidRPr="00C5181C">
        <w:rPr>
          <w:b w:val="0"/>
          <w:lang w:eastAsia="sk-SK"/>
        </w:rPr>
        <w:t>Úvodné ustanovenia .....</w:t>
      </w:r>
      <w:r w:rsidRPr="00C5181C">
        <w:rPr>
          <w:b w:val="0"/>
          <w:webHidden/>
        </w:rPr>
        <w:t>.................................................................</w:t>
      </w:r>
      <w:r w:rsidR="007E51FF">
        <w:rPr>
          <w:b w:val="0"/>
          <w:webHidden/>
        </w:rPr>
        <w:t>.</w:t>
      </w:r>
      <w:r w:rsidRPr="00C5181C">
        <w:rPr>
          <w:b w:val="0"/>
          <w:webHidden/>
        </w:rPr>
        <w:t>......</w:t>
      </w:r>
      <w:r w:rsidR="007E51FF">
        <w:rPr>
          <w:b w:val="0"/>
          <w:webHidden/>
        </w:rPr>
        <w:t>..</w:t>
      </w:r>
      <w:r w:rsidRPr="00C5181C">
        <w:rPr>
          <w:b w:val="0"/>
          <w:webHidden/>
        </w:rPr>
        <w:t>....................................5</w:t>
      </w:r>
    </w:p>
    <w:p w:rsidR="00C5181C" w:rsidRDefault="00C5181C" w:rsidP="00C5181C">
      <w:pPr>
        <w:tabs>
          <w:tab w:val="left" w:pos="8789"/>
        </w:tabs>
        <w:spacing w:line="360" w:lineRule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Článok II ....................................................................................................................................5</w:t>
      </w:r>
    </w:p>
    <w:p w:rsidR="00C5181C" w:rsidRDefault="00C5181C" w:rsidP="00C5181C">
      <w:pPr>
        <w:tabs>
          <w:tab w:val="left" w:pos="8789"/>
        </w:tabs>
        <w:spacing w:line="360" w:lineRule="auto"/>
        <w:rPr>
          <w:rStyle w:val="Hypertextovprepojenie"/>
          <w:noProof/>
        </w:rPr>
      </w:pPr>
      <w:r w:rsidRPr="00C5181C">
        <w:rPr>
          <w:noProof/>
        </w:rPr>
        <w:t>Vymedzenie konfliktu záujmov ................................................................................</w:t>
      </w:r>
      <w:r>
        <w:rPr>
          <w:noProof/>
        </w:rPr>
        <w:t>..</w:t>
      </w:r>
      <w:r w:rsidRPr="00C5181C">
        <w:rPr>
          <w:noProof/>
        </w:rPr>
        <w:t>..............</w:t>
      </w:r>
      <w:r>
        <w:rPr>
          <w:noProof/>
          <w:webHidden/>
        </w:rPr>
        <w:t>5</w:t>
      </w:r>
    </w:p>
    <w:p w:rsidR="00C5181C" w:rsidRPr="00B83B28" w:rsidRDefault="00C5181C" w:rsidP="00C5181C">
      <w:pPr>
        <w:tabs>
          <w:tab w:val="left" w:pos="8789"/>
        </w:tabs>
        <w:spacing w:line="360" w:lineRule="auto"/>
        <w:rPr>
          <w:rStyle w:val="Hypertextovprepojenie"/>
          <w:noProof/>
          <w:color w:val="auto"/>
          <w:u w:val="none"/>
        </w:rPr>
      </w:pPr>
      <w:r w:rsidRPr="00B83B28">
        <w:rPr>
          <w:rStyle w:val="Hypertextovprepojenie"/>
          <w:noProof/>
          <w:color w:val="auto"/>
          <w:u w:val="none"/>
        </w:rPr>
        <w:t>Článok III</w:t>
      </w:r>
      <w:r>
        <w:rPr>
          <w:rStyle w:val="Hypertextovprepojenie"/>
          <w:noProof/>
          <w:color w:val="auto"/>
          <w:u w:val="none"/>
        </w:rPr>
        <w:t xml:space="preserve"> ..................................................................................................................................6</w:t>
      </w:r>
    </w:p>
    <w:p w:rsidR="00C5181C" w:rsidRPr="00B83B28" w:rsidRDefault="00C5181C" w:rsidP="00C5181C">
      <w:pPr>
        <w:spacing w:line="360" w:lineRule="auto"/>
        <w:rPr>
          <w:rStyle w:val="Hypertextovprepojenie"/>
          <w:noProof/>
          <w:color w:val="auto"/>
          <w:u w:val="none"/>
        </w:rPr>
      </w:pPr>
      <w:r w:rsidRPr="00B83B28">
        <w:rPr>
          <w:rStyle w:val="Hypertextovprepojenie"/>
          <w:noProof/>
          <w:color w:val="auto"/>
          <w:u w:val="none"/>
        </w:rPr>
        <w:t>Zásady a opatrenia predchádzania konfliktu záujmov</w:t>
      </w:r>
      <w:r>
        <w:rPr>
          <w:rStyle w:val="Hypertextovprepojenie"/>
          <w:noProof/>
          <w:color w:val="auto"/>
          <w:u w:val="none"/>
        </w:rPr>
        <w:t xml:space="preserve"> ..............................................................6</w:t>
      </w:r>
    </w:p>
    <w:p w:rsidR="00C5181C" w:rsidRPr="00B83B28" w:rsidRDefault="00C5181C" w:rsidP="00C5181C">
      <w:pPr>
        <w:spacing w:line="360" w:lineRule="auto"/>
        <w:rPr>
          <w:rStyle w:val="Hypertextovprepojenie"/>
          <w:noProof/>
          <w:color w:val="auto"/>
          <w:u w:val="none"/>
        </w:rPr>
      </w:pPr>
      <w:r w:rsidRPr="00B83B28">
        <w:rPr>
          <w:rStyle w:val="Hypertextovprepojenie"/>
          <w:noProof/>
          <w:color w:val="auto"/>
          <w:u w:val="none"/>
        </w:rPr>
        <w:t>Článok IV</w:t>
      </w:r>
      <w:r>
        <w:rPr>
          <w:rStyle w:val="Hypertextovprepojenie"/>
          <w:noProof/>
          <w:color w:val="auto"/>
          <w:u w:val="none"/>
        </w:rPr>
        <w:t xml:space="preserve"> ..................................................................................................................................7</w:t>
      </w:r>
    </w:p>
    <w:p w:rsidR="00C5181C" w:rsidRPr="00B83B28" w:rsidRDefault="00C5181C" w:rsidP="00C5181C">
      <w:pPr>
        <w:spacing w:line="360" w:lineRule="auto"/>
        <w:rPr>
          <w:rStyle w:val="Hypertextovprepojenie"/>
          <w:noProof/>
          <w:color w:val="auto"/>
          <w:u w:val="none"/>
        </w:rPr>
      </w:pPr>
      <w:r w:rsidRPr="00B83B28">
        <w:rPr>
          <w:rStyle w:val="Hypertextovprepojenie"/>
          <w:noProof/>
          <w:color w:val="auto"/>
          <w:u w:val="none"/>
        </w:rPr>
        <w:t>Potencionálni účastníci konfliktu záujmov</w:t>
      </w:r>
      <w:r>
        <w:rPr>
          <w:rStyle w:val="Hypertextovprepojenie"/>
          <w:noProof/>
          <w:color w:val="auto"/>
          <w:u w:val="none"/>
        </w:rPr>
        <w:t xml:space="preserve"> ...............................................................................7</w:t>
      </w:r>
    </w:p>
    <w:p w:rsidR="00C5181C" w:rsidRPr="00B83B28" w:rsidRDefault="00C5181C" w:rsidP="00C5181C">
      <w:pPr>
        <w:spacing w:line="360" w:lineRule="auto"/>
        <w:rPr>
          <w:rStyle w:val="Hypertextovprepojenie"/>
          <w:noProof/>
          <w:color w:val="auto"/>
          <w:u w:val="none"/>
        </w:rPr>
      </w:pPr>
      <w:r w:rsidRPr="00B83B28">
        <w:rPr>
          <w:rStyle w:val="Hypertextovprepojenie"/>
          <w:noProof/>
          <w:color w:val="auto"/>
          <w:u w:val="none"/>
        </w:rPr>
        <w:t>Článok V</w:t>
      </w:r>
      <w:r>
        <w:rPr>
          <w:rStyle w:val="Hypertextovprepojenie"/>
          <w:noProof/>
          <w:color w:val="auto"/>
          <w:u w:val="none"/>
        </w:rPr>
        <w:t xml:space="preserve"> ...................................................................................................................................7</w:t>
      </w:r>
    </w:p>
    <w:p w:rsidR="00C5181C" w:rsidRPr="00B83B28" w:rsidRDefault="00C5181C" w:rsidP="00C5181C">
      <w:pPr>
        <w:spacing w:line="360" w:lineRule="auto"/>
        <w:rPr>
          <w:rStyle w:val="Hypertextovprepojenie"/>
          <w:noProof/>
          <w:color w:val="auto"/>
          <w:u w:val="none"/>
        </w:rPr>
      </w:pPr>
      <w:r w:rsidRPr="00B83B28">
        <w:rPr>
          <w:rStyle w:val="Hypertextovprepojenie"/>
          <w:noProof/>
          <w:color w:val="auto"/>
          <w:u w:val="none"/>
        </w:rPr>
        <w:t xml:space="preserve">Okolnosti spôsobujúce konflikt záujmov </w:t>
      </w:r>
      <w:r>
        <w:rPr>
          <w:rStyle w:val="Hypertextovprepojenie"/>
          <w:noProof/>
          <w:color w:val="auto"/>
          <w:u w:val="none"/>
        </w:rPr>
        <w:t>.................................................................................7</w:t>
      </w:r>
    </w:p>
    <w:p w:rsidR="00C5181C" w:rsidRPr="00B83B28" w:rsidRDefault="00C5181C" w:rsidP="00C5181C">
      <w:pPr>
        <w:spacing w:line="360" w:lineRule="auto"/>
        <w:rPr>
          <w:rStyle w:val="Hypertextovprepojenie"/>
          <w:noProof/>
          <w:color w:val="auto"/>
          <w:u w:val="none"/>
        </w:rPr>
      </w:pPr>
      <w:r w:rsidRPr="00B83B28">
        <w:rPr>
          <w:rStyle w:val="Hypertextovprepojenie"/>
          <w:noProof/>
          <w:color w:val="auto"/>
          <w:u w:val="none"/>
        </w:rPr>
        <w:t>Článok VI</w:t>
      </w:r>
      <w:r>
        <w:rPr>
          <w:rStyle w:val="Hypertextovprepojenie"/>
          <w:noProof/>
          <w:color w:val="auto"/>
          <w:u w:val="none"/>
        </w:rPr>
        <w:t xml:space="preserve"> .................................................................................................................................8</w:t>
      </w:r>
    </w:p>
    <w:p w:rsidR="00C5181C" w:rsidRPr="00B83B28" w:rsidRDefault="00C5181C" w:rsidP="00C5181C">
      <w:pPr>
        <w:spacing w:line="360" w:lineRule="auto"/>
        <w:rPr>
          <w:rStyle w:val="Hypertextovprepojenie"/>
          <w:noProof/>
          <w:color w:val="auto"/>
          <w:u w:val="none"/>
        </w:rPr>
      </w:pPr>
      <w:r>
        <w:rPr>
          <w:rStyle w:val="Hypertextovprepojenie"/>
          <w:noProof/>
          <w:color w:val="auto"/>
          <w:u w:val="none"/>
        </w:rPr>
        <w:t>Oznamovanie konfliktu záujmov..............................................................................................8</w:t>
      </w:r>
    </w:p>
    <w:p w:rsidR="00C5181C" w:rsidRPr="00B83B28" w:rsidRDefault="00C5181C" w:rsidP="00C5181C">
      <w:pPr>
        <w:spacing w:line="360" w:lineRule="auto"/>
        <w:rPr>
          <w:rStyle w:val="Hypertextovprepojenie"/>
          <w:noProof/>
          <w:color w:val="auto"/>
          <w:u w:val="none"/>
        </w:rPr>
      </w:pPr>
      <w:r>
        <w:rPr>
          <w:rStyle w:val="Hypertextovprepojenie"/>
          <w:noProof/>
          <w:color w:val="auto"/>
          <w:u w:val="none"/>
        </w:rPr>
        <w:t>Článok VII.................................................................................................................................9</w:t>
      </w:r>
    </w:p>
    <w:p w:rsidR="00C5181C" w:rsidRPr="00B83B28" w:rsidRDefault="00C5181C" w:rsidP="00C5181C">
      <w:pPr>
        <w:spacing w:line="360" w:lineRule="auto"/>
        <w:rPr>
          <w:rFonts w:eastAsiaTheme="minorEastAsia"/>
          <w:lang w:eastAsia="en-US"/>
        </w:rPr>
      </w:pPr>
      <w:r>
        <w:rPr>
          <w:rStyle w:val="Hypertextovprepojenie"/>
          <w:noProof/>
          <w:color w:val="auto"/>
          <w:u w:val="none"/>
        </w:rPr>
        <w:t>Záverečné ustanovenia  ............................................................................................................9</w:t>
      </w:r>
    </w:p>
    <w:p w:rsidR="0096258C" w:rsidRDefault="0096258C">
      <w:pPr>
        <w:spacing w:after="160" w:line="259" w:lineRule="auto"/>
        <w:rPr>
          <w:noProof/>
          <w:color w:val="FF0000"/>
        </w:rPr>
      </w:pPr>
      <w:r>
        <w:rPr>
          <w:noProof/>
          <w:color w:val="FF0000"/>
        </w:rPr>
        <w:br w:type="page"/>
      </w:r>
    </w:p>
    <w:p w:rsidR="001B62A7" w:rsidRPr="0051001A" w:rsidRDefault="001B62A7" w:rsidP="0051001A">
      <w:pPr>
        <w:spacing w:after="160" w:line="259" w:lineRule="auto"/>
        <w:rPr>
          <w:noProof/>
          <w:color w:val="FF0000"/>
        </w:rPr>
      </w:pPr>
      <w:r w:rsidRPr="007D1FD8">
        <w:rPr>
          <w:b/>
          <w:noProof/>
          <w:u w:val="single"/>
        </w:rPr>
        <w:lastRenderedPageBreak/>
        <w:t>DEFINÍCIE POJMOV</w:t>
      </w:r>
      <w:r w:rsidRPr="003B2D01">
        <w:rPr>
          <w:noProof/>
          <w:u w:val="single"/>
        </w:rPr>
        <w:t>:</w:t>
      </w:r>
      <w:bookmarkEnd w:id="0"/>
    </w:p>
    <w:p w:rsidR="001B62A7" w:rsidRDefault="001B62A7" w:rsidP="001B62A7">
      <w:pPr>
        <w:rPr>
          <w:noProof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B62A7" w:rsidTr="00234C40">
        <w:tc>
          <w:tcPr>
            <w:tcW w:w="2943" w:type="dxa"/>
          </w:tcPr>
          <w:p w:rsidR="001B62A7" w:rsidRDefault="001B62A7" w:rsidP="00BE319A">
            <w:pPr>
              <w:rPr>
                <w:noProof/>
              </w:rPr>
            </w:pPr>
            <w:r w:rsidRPr="00773D26">
              <w:rPr>
                <w:b/>
                <w:noProof/>
              </w:rPr>
              <w:t>Chránené záujmy</w:t>
            </w:r>
          </w:p>
        </w:tc>
        <w:tc>
          <w:tcPr>
            <w:tcW w:w="6269" w:type="dxa"/>
          </w:tcPr>
          <w:p w:rsidR="001B62A7" w:rsidRDefault="001B62A7" w:rsidP="00BE319A">
            <w:pPr>
              <w:jc w:val="both"/>
              <w:rPr>
                <w:noProof/>
              </w:rPr>
            </w:pPr>
            <w:r>
              <w:rPr>
                <w:noProof/>
              </w:rPr>
              <w:t>Na účely tohto vnútorného predpisu ide najmä o záujmy CDCP, záujmy klientov CDCP vrátane účastníkov a klientov účastníkov CDCP.</w:t>
            </w:r>
          </w:p>
          <w:p w:rsidR="001B62A7" w:rsidRDefault="001B62A7" w:rsidP="00BE319A">
            <w:pPr>
              <w:rPr>
                <w:noProof/>
              </w:rPr>
            </w:pPr>
          </w:p>
        </w:tc>
      </w:tr>
      <w:tr w:rsidR="001B62A7" w:rsidTr="00234C40">
        <w:tc>
          <w:tcPr>
            <w:tcW w:w="2943" w:type="dxa"/>
          </w:tcPr>
          <w:p w:rsidR="001B62A7" w:rsidRDefault="001B62A7" w:rsidP="00BE319A">
            <w:pPr>
              <w:rPr>
                <w:noProof/>
              </w:rPr>
            </w:pPr>
            <w:r w:rsidRPr="003B2D01">
              <w:rPr>
                <w:b/>
                <w:noProof/>
              </w:rPr>
              <w:t>Klient</w:t>
            </w:r>
          </w:p>
        </w:tc>
        <w:tc>
          <w:tcPr>
            <w:tcW w:w="6269" w:type="dxa"/>
          </w:tcPr>
          <w:p w:rsidR="001B62A7" w:rsidRDefault="001B62A7" w:rsidP="00BE319A">
            <w:pPr>
              <w:jc w:val="both"/>
              <w:rPr>
                <w:noProof/>
              </w:rPr>
            </w:pPr>
            <w:r>
              <w:rPr>
                <w:noProof/>
              </w:rPr>
              <w:t>N</w:t>
            </w:r>
            <w:r w:rsidRPr="003B2D01">
              <w:rPr>
                <w:noProof/>
              </w:rPr>
              <w:t>a účely tohto vnútorného predpisu ide o subjekt, ktorému CDCP poskytuje služby v súvislosti s výkonom svojich činností. Klientom sa rozumie aj čl</w:t>
            </w:r>
            <w:r w:rsidRPr="00044AB4">
              <w:rPr>
                <w:noProof/>
              </w:rPr>
              <w:t>en, účastník,</w:t>
            </w:r>
            <w:r w:rsidRPr="00773D26">
              <w:rPr>
                <w:noProof/>
              </w:rPr>
              <w:t xml:space="preserve"> </w:t>
            </w:r>
            <w:r w:rsidRPr="003B2D01">
              <w:rPr>
                <w:noProof/>
              </w:rPr>
              <w:t xml:space="preserve">prepojený centrálny depozitár, iná trhová infraštruktúra alebo emitent, ktorým CDCP udelil prístup k službám. Za klienta je považovaný aj žiadateľ o poskytnutie služby alebo prístupu k službám CDCP alebo tretia osoba, ktorá kona v mene alebo na účet osôb v zmysle tejto definície na základe udeleného plnomocenstva alebo iného oprávnenia. </w:t>
            </w:r>
          </w:p>
          <w:p w:rsidR="001B62A7" w:rsidRDefault="001B62A7" w:rsidP="00BE319A">
            <w:pPr>
              <w:rPr>
                <w:noProof/>
              </w:rPr>
            </w:pPr>
          </w:p>
        </w:tc>
      </w:tr>
      <w:tr w:rsidR="001B62A7" w:rsidTr="00234C40">
        <w:tc>
          <w:tcPr>
            <w:tcW w:w="2943" w:type="dxa"/>
          </w:tcPr>
          <w:p w:rsidR="00B30D87" w:rsidRDefault="001B62A7" w:rsidP="00BE319A">
            <w:pPr>
              <w:rPr>
                <w:noProof/>
              </w:rPr>
            </w:pPr>
            <w:r>
              <w:rPr>
                <w:b/>
                <w:noProof/>
              </w:rPr>
              <w:t>Oznámenie</w:t>
            </w:r>
          </w:p>
          <w:p w:rsidR="00B30D87" w:rsidRPr="00920056" w:rsidRDefault="00B30D87" w:rsidP="00684C08"/>
          <w:p w:rsidR="00B30D87" w:rsidRPr="00920056" w:rsidRDefault="00B30D87"/>
          <w:p w:rsidR="00B30D87" w:rsidRPr="00920056" w:rsidRDefault="00B30D87"/>
          <w:p w:rsidR="00B30D87" w:rsidRPr="00920056" w:rsidRDefault="00B30D87"/>
          <w:p w:rsidR="00B30D87" w:rsidRPr="00920056" w:rsidRDefault="00B30D87"/>
          <w:p w:rsidR="00B30D87" w:rsidRPr="00920056" w:rsidRDefault="00B30D87"/>
          <w:p w:rsidR="00B30D87" w:rsidRPr="00920056" w:rsidRDefault="00B30D87"/>
          <w:p w:rsidR="00B30D87" w:rsidRPr="00920056" w:rsidRDefault="00B30D87"/>
          <w:p w:rsidR="001B62A7" w:rsidRPr="00920056" w:rsidRDefault="00B30D87" w:rsidP="00684C08">
            <w:pPr>
              <w:rPr>
                <w:b/>
              </w:rPr>
            </w:pPr>
            <w:r w:rsidRPr="00920056">
              <w:rPr>
                <w:b/>
              </w:rPr>
              <w:t>Oznamovateľ</w:t>
            </w:r>
          </w:p>
        </w:tc>
        <w:tc>
          <w:tcPr>
            <w:tcW w:w="6269" w:type="dxa"/>
          </w:tcPr>
          <w:p w:rsidR="001B62A7" w:rsidRDefault="001B62A7" w:rsidP="00BE319A">
            <w:pPr>
              <w:jc w:val="both"/>
              <w:rPr>
                <w:noProof/>
              </w:rPr>
            </w:pPr>
            <w:r>
              <w:rPr>
                <w:noProof/>
              </w:rPr>
              <w:t>R</w:t>
            </w:r>
            <w:r w:rsidRPr="003B2D01">
              <w:rPr>
                <w:noProof/>
              </w:rPr>
              <w:t>ozumie sa ním podanie</w:t>
            </w:r>
            <w:r w:rsidR="0088744F">
              <w:rPr>
                <w:noProof/>
              </w:rPr>
              <w:t xml:space="preserve"> osoby priamo alebo nepriamo prepojenej so zamestnancom</w:t>
            </w:r>
            <w:r w:rsidRPr="003B2D01">
              <w:rPr>
                <w:noProof/>
              </w:rPr>
              <w:t>,</w:t>
            </w:r>
            <w:r w:rsidR="0088744F">
              <w:rPr>
                <w:noProof/>
              </w:rPr>
              <w:t xml:space="preserve"> členom</w:t>
            </w:r>
            <w:r>
              <w:rPr>
                <w:noProof/>
              </w:rPr>
              <w:t xml:space="preserve"> vrcholového manažmentu,</w:t>
            </w:r>
            <w:r w:rsidRPr="003B2D01">
              <w:rPr>
                <w:noProof/>
              </w:rPr>
              <w:t xml:space="preserve"> </w:t>
            </w:r>
            <w:r w:rsidR="0088744F">
              <w:rPr>
                <w:noProof/>
              </w:rPr>
              <w:t>členom</w:t>
            </w:r>
            <w:r>
              <w:rPr>
                <w:noProof/>
              </w:rPr>
              <w:t xml:space="preserve"> riadiaceho </w:t>
            </w:r>
            <w:r w:rsidR="0088744F">
              <w:rPr>
                <w:noProof/>
              </w:rPr>
              <w:t xml:space="preserve">orgánu CDCP, </w:t>
            </w:r>
            <w:r w:rsidRPr="003B2D01">
              <w:rPr>
                <w:noProof/>
              </w:rPr>
              <w:t xml:space="preserve">prostredníctvom ktorého oznamujú </w:t>
            </w:r>
            <w:r w:rsidR="00346358">
              <w:rPr>
                <w:noProof/>
              </w:rPr>
              <w:t xml:space="preserve">oddeleniu </w:t>
            </w:r>
            <w:r w:rsidRPr="003B2D01">
              <w:rPr>
                <w:noProof/>
              </w:rPr>
              <w:t xml:space="preserve">Compliance, že sa dozvedeli o skutočnosti/ach v súvislosti s výkonom svojho  zamestnania, funkcie alebo postavenia, ktoré môže prispieť k eliminácii skutočného alebo potenciálneho konfliktu záujmov. </w:t>
            </w:r>
          </w:p>
          <w:p w:rsidR="00B30D87" w:rsidRDefault="00B30D87" w:rsidP="00BE319A">
            <w:pPr>
              <w:jc w:val="both"/>
              <w:rPr>
                <w:noProof/>
              </w:rPr>
            </w:pPr>
          </w:p>
          <w:p w:rsidR="00B30D87" w:rsidRDefault="00B30D87" w:rsidP="00BE319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Akákoľvek osoba, ktorá podala oznámenie v zmysle tejto politiky riadenia konfliktu záujmov. </w:t>
            </w:r>
          </w:p>
          <w:p w:rsidR="001B62A7" w:rsidRDefault="001B62A7" w:rsidP="00BE319A">
            <w:pPr>
              <w:rPr>
                <w:noProof/>
              </w:rPr>
            </w:pPr>
          </w:p>
        </w:tc>
      </w:tr>
      <w:tr w:rsidR="001B62A7" w:rsidTr="00234C40">
        <w:tc>
          <w:tcPr>
            <w:tcW w:w="2943" w:type="dxa"/>
          </w:tcPr>
          <w:p w:rsidR="001B62A7" w:rsidRDefault="00995209" w:rsidP="00BE319A">
            <w:pPr>
              <w:rPr>
                <w:noProof/>
              </w:rPr>
            </w:pPr>
            <w:r>
              <w:rPr>
                <w:b/>
                <w:noProof/>
              </w:rPr>
              <w:t>P</w:t>
            </w:r>
            <w:r w:rsidR="001B62A7" w:rsidRPr="003B2D01">
              <w:rPr>
                <w:b/>
                <w:noProof/>
              </w:rPr>
              <w:t>riam</w:t>
            </w:r>
            <w:r w:rsidR="00913AF4">
              <w:rPr>
                <w:b/>
                <w:noProof/>
              </w:rPr>
              <w:t>o</w:t>
            </w:r>
            <w:r w:rsidR="001B62A7" w:rsidRPr="003B2D01">
              <w:rPr>
                <w:b/>
                <w:noProof/>
              </w:rPr>
              <w:t xml:space="preserve"> alebo nepriam</w:t>
            </w:r>
            <w:r w:rsidR="00913AF4">
              <w:rPr>
                <w:b/>
                <w:noProof/>
              </w:rPr>
              <w:t>o</w:t>
            </w:r>
            <w:r w:rsidR="001B62A7" w:rsidRPr="003B2D01">
              <w:rPr>
                <w:b/>
                <w:noProof/>
              </w:rPr>
              <w:t xml:space="preserve"> prepojen</w:t>
            </w:r>
            <w:r w:rsidR="00913AF4">
              <w:rPr>
                <w:b/>
                <w:noProof/>
              </w:rPr>
              <w:t>á osoba</w:t>
            </w:r>
          </w:p>
        </w:tc>
        <w:tc>
          <w:tcPr>
            <w:tcW w:w="6269" w:type="dxa"/>
          </w:tcPr>
          <w:p w:rsidR="001B62A7" w:rsidRDefault="001B62A7" w:rsidP="00BE319A">
            <w:pPr>
              <w:jc w:val="both"/>
              <w:rPr>
                <w:noProof/>
              </w:rPr>
            </w:pPr>
            <w:r>
              <w:rPr>
                <w:noProof/>
              </w:rPr>
              <w:t>Z</w:t>
            </w:r>
            <w:r w:rsidRPr="003B2D01">
              <w:rPr>
                <w:noProof/>
              </w:rPr>
              <w:t>ahŕňa manžela/manželku alebo zákonného partnera, členov rodiny vo vzostupnej alebo v zostupnej línií až po druhý stupeň a ich manželov/manželky alebo zákonných partnerov, súrodencov  a ich manželov/manželky alebo zákonných partnerov a akúkoľvek osobu, ktorá má rovnaký domicil alebo obvyklý pobyt ako zamestnanci, manažéri alebo členovia riadiaceho orgánu.</w:t>
            </w:r>
          </w:p>
          <w:p w:rsidR="001B62A7" w:rsidRDefault="001B62A7" w:rsidP="00BE319A">
            <w:pPr>
              <w:rPr>
                <w:noProof/>
              </w:rPr>
            </w:pPr>
          </w:p>
        </w:tc>
      </w:tr>
      <w:tr w:rsidR="001B62A7" w:rsidTr="00234C40">
        <w:tc>
          <w:tcPr>
            <w:tcW w:w="2943" w:type="dxa"/>
          </w:tcPr>
          <w:p w:rsidR="001B62A7" w:rsidRDefault="001B62A7" w:rsidP="00BE319A">
            <w:pPr>
              <w:rPr>
                <w:noProof/>
              </w:rPr>
            </w:pPr>
            <w:r w:rsidRPr="003B2D01">
              <w:rPr>
                <w:b/>
                <w:noProof/>
              </w:rPr>
              <w:t>Účastník</w:t>
            </w:r>
          </w:p>
        </w:tc>
        <w:tc>
          <w:tcPr>
            <w:tcW w:w="6269" w:type="dxa"/>
          </w:tcPr>
          <w:p w:rsidR="001B62A7" w:rsidRDefault="001B62A7" w:rsidP="00BE319A">
            <w:pPr>
              <w:jc w:val="both"/>
              <w:rPr>
                <w:noProof/>
              </w:rPr>
            </w:pPr>
            <w:r>
              <w:rPr>
                <w:noProof/>
              </w:rPr>
              <w:t>A</w:t>
            </w:r>
            <w:r w:rsidRPr="003B2D01">
              <w:rPr>
                <w:noProof/>
              </w:rPr>
              <w:t>kýkoľvek účastník systému vyrovnania, ktorému CDCP udelil prístup v súlade s čl. 33 Nariadenia CSDR a Prevádzkovým poriadkom</w:t>
            </w:r>
            <w:r>
              <w:rPr>
                <w:noProof/>
              </w:rPr>
              <w:t xml:space="preserve"> Centrálneho depozitára cenných papierov SR, a.s..</w:t>
            </w:r>
          </w:p>
          <w:p w:rsidR="001B62A7" w:rsidRDefault="001B62A7" w:rsidP="00BE319A">
            <w:pPr>
              <w:rPr>
                <w:noProof/>
              </w:rPr>
            </w:pPr>
          </w:p>
        </w:tc>
      </w:tr>
      <w:tr w:rsidR="001B62A7" w:rsidTr="00234C40">
        <w:tc>
          <w:tcPr>
            <w:tcW w:w="2943" w:type="dxa"/>
          </w:tcPr>
          <w:p w:rsidR="001B62A7" w:rsidRDefault="001B62A7" w:rsidP="00BE319A">
            <w:pPr>
              <w:rPr>
                <w:noProof/>
              </w:rPr>
            </w:pPr>
            <w:r w:rsidRPr="00D824EC">
              <w:rPr>
                <w:b/>
                <w:noProof/>
              </w:rPr>
              <w:t>Z</w:t>
            </w:r>
            <w:r>
              <w:rPr>
                <w:b/>
                <w:noProof/>
              </w:rPr>
              <w:t>ainteresované osoby</w:t>
            </w:r>
          </w:p>
        </w:tc>
        <w:tc>
          <w:tcPr>
            <w:tcW w:w="6269" w:type="dxa"/>
          </w:tcPr>
          <w:p w:rsidR="001B62A7" w:rsidRDefault="001B62A7" w:rsidP="00BE319A">
            <w:pPr>
              <w:jc w:val="both"/>
              <w:rPr>
                <w:noProof/>
              </w:rPr>
            </w:pPr>
            <w:r>
              <w:rPr>
                <w:noProof/>
              </w:rPr>
              <w:t>N</w:t>
            </w:r>
            <w:r w:rsidRPr="003B2D01">
              <w:rPr>
                <w:noProof/>
              </w:rPr>
              <w:t>a účely tohto vnútorného predpisu ide o</w:t>
            </w:r>
            <w:r>
              <w:rPr>
                <w:noProof/>
              </w:rPr>
              <w:t xml:space="preserve"> CDCP, </w:t>
            </w:r>
            <w:r w:rsidRPr="003B2D01">
              <w:rPr>
                <w:noProof/>
              </w:rPr>
              <w:t xml:space="preserve">zamestnancov CDCP, členov riadiaceho orgánu CDCP, </w:t>
            </w:r>
            <w:r>
              <w:rPr>
                <w:noProof/>
              </w:rPr>
              <w:t xml:space="preserve">členov vrcholového  </w:t>
            </w:r>
            <w:r w:rsidRPr="003B2D01">
              <w:rPr>
                <w:noProof/>
              </w:rPr>
              <w:t>manažment</w:t>
            </w:r>
            <w:r>
              <w:rPr>
                <w:noProof/>
              </w:rPr>
              <w:t>u</w:t>
            </w:r>
            <w:r w:rsidRPr="003B2D01">
              <w:rPr>
                <w:noProof/>
              </w:rPr>
              <w:t xml:space="preserve"> CDCP a iné osoby priamo alebo nepriamo prepojené s uved</w:t>
            </w:r>
            <w:r>
              <w:rPr>
                <w:noProof/>
              </w:rPr>
              <w:t>enými osobami alebo s CDCP.</w:t>
            </w:r>
          </w:p>
          <w:p w:rsidR="001B62A7" w:rsidRDefault="001B62A7" w:rsidP="00BE319A">
            <w:pPr>
              <w:rPr>
                <w:noProof/>
              </w:rPr>
            </w:pPr>
          </w:p>
        </w:tc>
      </w:tr>
      <w:tr w:rsidR="001B62A7" w:rsidTr="00234C40">
        <w:tc>
          <w:tcPr>
            <w:tcW w:w="2943" w:type="dxa"/>
          </w:tcPr>
          <w:p w:rsidR="001B62A7" w:rsidRDefault="001B62A7" w:rsidP="006D499C">
            <w:pPr>
              <w:tabs>
                <w:tab w:val="center" w:pos="2195"/>
              </w:tabs>
              <w:rPr>
                <w:noProof/>
              </w:rPr>
            </w:pPr>
            <w:r w:rsidRPr="002F3C57">
              <w:rPr>
                <w:b/>
                <w:noProof/>
              </w:rPr>
              <w:t>Z</w:t>
            </w:r>
            <w:r>
              <w:rPr>
                <w:b/>
                <w:noProof/>
              </w:rPr>
              <w:t>amestnanec</w:t>
            </w:r>
            <w:r w:rsidR="006D499C">
              <w:rPr>
                <w:b/>
                <w:noProof/>
              </w:rPr>
              <w:tab/>
            </w:r>
          </w:p>
        </w:tc>
        <w:tc>
          <w:tcPr>
            <w:tcW w:w="6269" w:type="dxa"/>
          </w:tcPr>
          <w:p w:rsidR="001B62A7" w:rsidRDefault="001B62A7" w:rsidP="00BE319A">
            <w:pPr>
              <w:jc w:val="both"/>
              <w:rPr>
                <w:noProof/>
              </w:rPr>
            </w:pPr>
            <w:r>
              <w:rPr>
                <w:noProof/>
              </w:rPr>
              <w:t>J</w:t>
            </w:r>
            <w:r w:rsidRPr="003B2D01">
              <w:rPr>
                <w:noProof/>
              </w:rPr>
              <w:t xml:space="preserve">e fyzická osoba, ktorá v pracovnoprávnom vzťahu alebo inom obdobnom pracovnom vzťahu </w:t>
            </w:r>
            <w:r>
              <w:rPr>
                <w:noProof/>
              </w:rPr>
              <w:t>vykonáva pre CDCP závislú prácu.</w:t>
            </w:r>
          </w:p>
        </w:tc>
      </w:tr>
    </w:tbl>
    <w:p w:rsidR="0088744F" w:rsidRDefault="0088744F">
      <w:pPr>
        <w:spacing w:after="160" w:line="259" w:lineRule="auto"/>
        <w:rPr>
          <w:b/>
          <w:u w:val="single"/>
        </w:rPr>
      </w:pPr>
    </w:p>
    <w:p w:rsidR="00376228" w:rsidRDefault="00376228">
      <w:pPr>
        <w:spacing w:after="160" w:line="259" w:lineRule="auto"/>
        <w:rPr>
          <w:b/>
          <w:u w:val="single"/>
        </w:rPr>
      </w:pPr>
      <w:r w:rsidRPr="00376228">
        <w:rPr>
          <w:b/>
          <w:u w:val="single"/>
        </w:rPr>
        <w:t>POUŽIT</w:t>
      </w:r>
      <w:r>
        <w:rPr>
          <w:b/>
          <w:u w:val="single"/>
        </w:rPr>
        <w:t>É SKRATKY</w:t>
      </w:r>
    </w:p>
    <w:p w:rsidR="00376228" w:rsidRDefault="00376228">
      <w:pPr>
        <w:spacing w:after="160" w:line="259" w:lineRule="auto"/>
        <w:rPr>
          <w:b/>
          <w:u w:val="single"/>
        </w:rPr>
      </w:pPr>
    </w:p>
    <w:p w:rsidR="00376228" w:rsidRDefault="00376228" w:rsidP="00376228">
      <w:pPr>
        <w:tabs>
          <w:tab w:val="left" w:pos="907"/>
          <w:tab w:val="left" w:pos="1361"/>
          <w:tab w:val="left" w:pos="1814"/>
        </w:tabs>
        <w:spacing w:line="276" w:lineRule="auto"/>
        <w:jc w:val="both"/>
        <w:rPr>
          <w:noProof/>
        </w:rPr>
      </w:pPr>
      <w:r w:rsidRPr="003B2D01">
        <w:rPr>
          <w:b/>
          <w:noProof/>
        </w:rPr>
        <w:t>CDCP</w:t>
      </w:r>
      <w:r w:rsidR="006E3B91">
        <w:rPr>
          <w:b/>
          <w:noProof/>
        </w:rPr>
        <w:tab/>
      </w:r>
      <w:r w:rsidR="006E3B91">
        <w:rPr>
          <w:b/>
          <w:noProof/>
        </w:rPr>
        <w:tab/>
      </w:r>
      <w:r w:rsidR="006E3B91">
        <w:rPr>
          <w:b/>
          <w:noProof/>
        </w:rPr>
        <w:tab/>
      </w:r>
      <w:r w:rsidR="006E3B91">
        <w:rPr>
          <w:b/>
          <w:noProof/>
        </w:rPr>
        <w:tab/>
      </w:r>
      <w:r w:rsidR="006E3B91">
        <w:rPr>
          <w:b/>
          <w:noProof/>
        </w:rPr>
        <w:tab/>
      </w:r>
      <w:r w:rsidRPr="003B2D01">
        <w:rPr>
          <w:noProof/>
        </w:rPr>
        <w:t>Centrálny dep</w:t>
      </w:r>
      <w:r>
        <w:rPr>
          <w:noProof/>
        </w:rPr>
        <w:t>ozitár cenných papierov SR, a.s.</w:t>
      </w:r>
    </w:p>
    <w:p w:rsidR="00376228" w:rsidRPr="000F5C41" w:rsidRDefault="00376228" w:rsidP="00376228">
      <w:pPr>
        <w:tabs>
          <w:tab w:val="left" w:pos="907"/>
          <w:tab w:val="left" w:pos="1361"/>
          <w:tab w:val="left" w:pos="1814"/>
        </w:tabs>
        <w:spacing w:line="276" w:lineRule="auto"/>
        <w:jc w:val="both"/>
        <w:rPr>
          <w:noProof/>
        </w:rPr>
      </w:pPr>
    </w:p>
    <w:p w:rsidR="00376228" w:rsidRDefault="00376228" w:rsidP="006E3B91">
      <w:pPr>
        <w:spacing w:line="276" w:lineRule="auto"/>
        <w:ind w:left="2832" w:hanging="2832"/>
        <w:jc w:val="both"/>
        <w:rPr>
          <w:noProof/>
        </w:rPr>
      </w:pPr>
      <w:r w:rsidRPr="000F5C41">
        <w:rPr>
          <w:b/>
          <w:noProof/>
        </w:rPr>
        <w:t>Nariadenie CSDR</w:t>
      </w:r>
      <w:r w:rsidR="006E3B91">
        <w:rPr>
          <w:noProof/>
        </w:rPr>
        <w:tab/>
      </w:r>
      <w:r>
        <w:rPr>
          <w:noProof/>
        </w:rPr>
        <w:t xml:space="preserve">Nariadenie </w:t>
      </w:r>
      <w:r w:rsidRPr="000F5C41">
        <w:rPr>
          <w:noProof/>
        </w:rPr>
        <w:t xml:space="preserve">Európskeho parlamentu </w:t>
      </w:r>
      <w:r>
        <w:rPr>
          <w:noProof/>
        </w:rPr>
        <w:t>a Rady</w:t>
      </w:r>
      <w:r w:rsidRPr="000F5C41">
        <w:rPr>
          <w:noProof/>
        </w:rPr>
        <w:t xml:space="preserve"> (EÚ) č. 909/2014 </w:t>
      </w:r>
      <w:r>
        <w:rPr>
          <w:noProof/>
        </w:rPr>
        <w:t xml:space="preserve">z 23. júla 2014 </w:t>
      </w:r>
      <w:r w:rsidRPr="000F5C41">
        <w:rPr>
          <w:noProof/>
        </w:rPr>
        <w:t>o zlepšení vyrovnania tr</w:t>
      </w:r>
      <w:r>
        <w:rPr>
          <w:noProof/>
        </w:rPr>
        <w:t>ansakcií s cennými papiermi v Európskej únií</w:t>
      </w:r>
      <w:r w:rsidRPr="000F5C41">
        <w:rPr>
          <w:noProof/>
        </w:rPr>
        <w:t>, centrálnych depozitároch cenných papierov a o zmene smerníc 98/26/ES a 2014/65/EÚ a nariadenia (EÚ) č. 236/2012</w:t>
      </w:r>
    </w:p>
    <w:p w:rsidR="00346358" w:rsidRDefault="00346358" w:rsidP="006E3B91">
      <w:pPr>
        <w:spacing w:line="276" w:lineRule="auto"/>
        <w:ind w:left="2832" w:hanging="2832"/>
        <w:jc w:val="both"/>
        <w:rPr>
          <w:noProof/>
        </w:rPr>
      </w:pPr>
    </w:p>
    <w:p w:rsidR="00376228" w:rsidRDefault="00346358" w:rsidP="00234C40">
      <w:pPr>
        <w:spacing w:line="276" w:lineRule="auto"/>
        <w:ind w:left="2832" w:hanging="2832"/>
        <w:jc w:val="both"/>
        <w:rPr>
          <w:noProof/>
        </w:rPr>
      </w:pPr>
      <w:r>
        <w:rPr>
          <w:b/>
          <w:noProof/>
        </w:rPr>
        <w:t>Oddelenie Compliance</w:t>
      </w:r>
      <w:r>
        <w:rPr>
          <w:noProof/>
        </w:rPr>
        <w:tab/>
        <w:t xml:space="preserve">Organizačný útvar CDCP, v rámci ktorého je administratívne začlenený výkon nezávislej funkcie Compliance a </w:t>
      </w:r>
      <w:r w:rsidRPr="003B2D01">
        <w:rPr>
          <w:noProof/>
        </w:rPr>
        <w:t>do ktorého zodpovednosti spadá riadenie konfliktu záujmov</w:t>
      </w:r>
      <w:r>
        <w:rPr>
          <w:noProof/>
        </w:rPr>
        <w:t>. Na účely tejto smernice pojem oddelenie Compliance používaný aj na účely funkčného výkonu činnosti funkcie Compliance.</w:t>
      </w:r>
    </w:p>
    <w:p w:rsidR="00234C40" w:rsidRPr="00B83B28" w:rsidRDefault="00234C40" w:rsidP="00234C40">
      <w:pPr>
        <w:spacing w:line="276" w:lineRule="auto"/>
        <w:ind w:left="2832" w:hanging="2832"/>
        <w:jc w:val="both"/>
        <w:rPr>
          <w:noProof/>
        </w:rPr>
      </w:pPr>
    </w:p>
    <w:p w:rsidR="00376228" w:rsidRDefault="00376228" w:rsidP="006E3B91">
      <w:pPr>
        <w:autoSpaceDE w:val="0"/>
        <w:autoSpaceDN w:val="0"/>
        <w:adjustRightInd w:val="0"/>
        <w:spacing w:line="276" w:lineRule="auto"/>
        <w:ind w:left="2832" w:hanging="2832"/>
        <w:jc w:val="both"/>
        <w:rPr>
          <w:noProof/>
        </w:rPr>
      </w:pPr>
      <w:r w:rsidRPr="000F5C41">
        <w:rPr>
          <w:b/>
          <w:noProof/>
        </w:rPr>
        <w:t>RTS</w:t>
      </w:r>
      <w:r w:rsidR="006E3B91">
        <w:rPr>
          <w:noProof/>
        </w:rPr>
        <w:tab/>
      </w:r>
      <w:r>
        <w:rPr>
          <w:noProof/>
        </w:rPr>
        <w:t xml:space="preserve">Delegované Nariadenie Komisie (EÚ) 2017/392 z 11. novembra 2016, ktorým sa dopĺňa nariadenie Európskeho parlamentu a Rady (EÚ) č. 909/2014, pokiaľ ide o regulačné technické predpisy o požiadavkách na povoľovanie centrálnych depozitárov cenných papierov, dohľad nad nimi a prevádzkové požiadavky pre ne </w:t>
      </w:r>
    </w:p>
    <w:p w:rsidR="00376228" w:rsidRDefault="00376228" w:rsidP="00376228">
      <w:pPr>
        <w:autoSpaceDE w:val="0"/>
        <w:autoSpaceDN w:val="0"/>
        <w:adjustRightInd w:val="0"/>
        <w:spacing w:line="276" w:lineRule="auto"/>
        <w:jc w:val="both"/>
        <w:rPr>
          <w:noProof/>
        </w:rPr>
      </w:pPr>
    </w:p>
    <w:p w:rsidR="00376228" w:rsidRPr="00CF2CB9" w:rsidRDefault="00376228" w:rsidP="00376228">
      <w:pPr>
        <w:autoSpaceDE w:val="0"/>
        <w:autoSpaceDN w:val="0"/>
        <w:adjustRightInd w:val="0"/>
        <w:spacing w:line="276" w:lineRule="auto"/>
        <w:rPr>
          <w:noProof/>
        </w:rPr>
      </w:pPr>
      <w:r w:rsidRPr="00CF2CB9">
        <w:rPr>
          <w:b/>
          <w:noProof/>
        </w:rPr>
        <w:t>SR</w:t>
      </w:r>
      <w:r w:rsidR="006E3B91">
        <w:rPr>
          <w:noProof/>
        </w:rPr>
        <w:tab/>
      </w:r>
      <w:r w:rsidR="006E3B91">
        <w:rPr>
          <w:noProof/>
        </w:rPr>
        <w:tab/>
      </w:r>
      <w:r w:rsidR="006E3B91">
        <w:rPr>
          <w:noProof/>
        </w:rPr>
        <w:tab/>
      </w:r>
      <w:r w:rsidR="006E3B91">
        <w:rPr>
          <w:noProof/>
        </w:rPr>
        <w:tab/>
      </w:r>
      <w:r>
        <w:rPr>
          <w:noProof/>
        </w:rPr>
        <w:t xml:space="preserve">Slovenská republika </w:t>
      </w:r>
    </w:p>
    <w:p w:rsidR="001B62A7" w:rsidRPr="00376228" w:rsidRDefault="001B62A7">
      <w:pPr>
        <w:spacing w:after="160" w:line="259" w:lineRule="auto"/>
        <w:rPr>
          <w:b/>
          <w:u w:val="single"/>
        </w:rPr>
      </w:pPr>
      <w:r w:rsidRPr="00376228">
        <w:rPr>
          <w:b/>
          <w:u w:val="single"/>
        </w:rPr>
        <w:br w:type="page"/>
      </w:r>
    </w:p>
    <w:p w:rsidR="00113A43" w:rsidRPr="00937F8A" w:rsidRDefault="00913AF4" w:rsidP="00113A43">
      <w:pPr>
        <w:pStyle w:val="vyhl"/>
        <w:spacing w:before="0" w:after="0" w:afterAutospacing="0" w:line="276" w:lineRule="auto"/>
        <w:rPr>
          <w:szCs w:val="24"/>
        </w:rPr>
      </w:pPr>
      <w:r>
        <w:rPr>
          <w:szCs w:val="24"/>
        </w:rPr>
        <w:lastRenderedPageBreak/>
        <w:t>Článok I</w:t>
      </w:r>
    </w:p>
    <w:p w:rsidR="00113A43" w:rsidRPr="00113A43" w:rsidRDefault="00913AF4" w:rsidP="00113A43">
      <w:pPr>
        <w:pStyle w:val="vyhl"/>
        <w:spacing w:before="0" w:line="276" w:lineRule="auto"/>
        <w:rPr>
          <w:b w:val="0"/>
          <w:bCs w:val="0"/>
          <w:szCs w:val="24"/>
        </w:rPr>
      </w:pPr>
      <w:r>
        <w:rPr>
          <w:szCs w:val="24"/>
        </w:rPr>
        <w:t>Úvodné ustanovenia</w:t>
      </w:r>
    </w:p>
    <w:p w:rsidR="00BE319A" w:rsidRDefault="00534F1A" w:rsidP="00A90CDE">
      <w:pPr>
        <w:autoSpaceDE w:val="0"/>
        <w:autoSpaceDN w:val="0"/>
        <w:adjustRightInd w:val="0"/>
        <w:spacing w:before="120" w:line="276" w:lineRule="auto"/>
        <w:jc w:val="both"/>
      </w:pPr>
      <w:r w:rsidRPr="00937F8A">
        <w:t>Centrálny depozitár cenných papierov SR, a.s.</w:t>
      </w:r>
      <w:r w:rsidR="00680078">
        <w:t xml:space="preserve">, so sídlom ul. 29. augusta 1/A, 814 80 Bratislava, IČO: 31 338 976, zapísaný v Obchodnom registri Okresného súdu Bratislava I, oddiel: Sa, vložka č. 493/B, </w:t>
      </w:r>
      <w:r w:rsidRPr="00937F8A">
        <w:t>v súlade s</w:t>
      </w:r>
      <w:r>
        <w:t xml:space="preserve"> príslušnými</w:t>
      </w:r>
      <w:r w:rsidRPr="00937F8A">
        <w:t xml:space="preserve"> ustanoveniami </w:t>
      </w:r>
      <w:r w:rsidR="00C1204D">
        <w:rPr>
          <w:noProof/>
        </w:rPr>
        <w:t xml:space="preserve">Nariadenia </w:t>
      </w:r>
      <w:r w:rsidR="00C1204D" w:rsidRPr="000F5C41">
        <w:rPr>
          <w:noProof/>
        </w:rPr>
        <w:t xml:space="preserve">Európskeho parlamentu </w:t>
      </w:r>
      <w:r w:rsidR="00C1204D">
        <w:rPr>
          <w:noProof/>
        </w:rPr>
        <w:t>a Rady</w:t>
      </w:r>
      <w:r w:rsidR="00C1204D" w:rsidRPr="000F5C41">
        <w:rPr>
          <w:noProof/>
        </w:rPr>
        <w:t xml:space="preserve"> (EÚ) č. 909/2014 </w:t>
      </w:r>
      <w:r w:rsidR="00C1204D">
        <w:rPr>
          <w:noProof/>
        </w:rPr>
        <w:t xml:space="preserve">z 23. júla 2014 </w:t>
      </w:r>
      <w:r w:rsidR="00C1204D" w:rsidRPr="000F5C41">
        <w:rPr>
          <w:noProof/>
        </w:rPr>
        <w:t>o zlepšení vyrovnania tr</w:t>
      </w:r>
      <w:r w:rsidR="00C1204D">
        <w:rPr>
          <w:noProof/>
        </w:rPr>
        <w:t>ansakcií s cennými papiermi v Európskej únií</w:t>
      </w:r>
      <w:r w:rsidR="00C1204D" w:rsidRPr="000F5C41">
        <w:rPr>
          <w:noProof/>
        </w:rPr>
        <w:t>, centrálnych depozitároch cenných papierov a o zmene smerníc 98/26/ES a 2014/65/EÚ a nariadenia (EÚ) č. 236/2012</w:t>
      </w:r>
      <w:r w:rsidR="00C1204D">
        <w:t xml:space="preserve"> </w:t>
      </w:r>
      <w:r w:rsidRPr="00937F8A">
        <w:t>a</w:t>
      </w:r>
      <w:r w:rsidR="00C1204D">
        <w:t xml:space="preserve"> príslušnými delegovanými nariadeniami </w:t>
      </w:r>
      <w:r w:rsidR="00DF4466">
        <w:t xml:space="preserve">Komisie, </w:t>
      </w:r>
      <w:r w:rsidR="00A96BD8">
        <w:t xml:space="preserve">vydáva túto </w:t>
      </w:r>
      <w:r w:rsidR="00913AF4">
        <w:t>politiku.</w:t>
      </w:r>
      <w:r w:rsidR="00A96BD8">
        <w:t xml:space="preserve"> </w:t>
      </w:r>
      <w:r w:rsidR="00913AF4">
        <w:t>ktorá je adresovaná smerom navonok, vo vzťahu k osobám, ktoré nie sú zamestnancami CDCP. Účelom Politiky je poskytnutie informácií o úprave riadenia konfliktu záujmov v podmienkach CDCP a stanovenie základných postupov pre jeho riadenie vo vzťahu k osobám, ktoré nie sú zamestnancami CDCP a stanovenie postupov pre oznamovanie potenciálnych alebo existujúcich konfliktov záujmov</w:t>
      </w:r>
      <w:r w:rsidRPr="00937F8A">
        <w:t xml:space="preserve">. </w:t>
      </w:r>
    </w:p>
    <w:p w:rsidR="00A90CDE" w:rsidRDefault="00A90CDE" w:rsidP="00A90CDE">
      <w:pPr>
        <w:autoSpaceDE w:val="0"/>
        <w:autoSpaceDN w:val="0"/>
        <w:adjustRightInd w:val="0"/>
        <w:spacing w:before="120" w:line="276" w:lineRule="auto"/>
        <w:jc w:val="both"/>
      </w:pPr>
    </w:p>
    <w:p w:rsidR="00113A43" w:rsidRPr="00937F8A" w:rsidRDefault="00113A43" w:rsidP="00113A43">
      <w:pPr>
        <w:spacing w:before="360" w:line="276" w:lineRule="auto"/>
        <w:jc w:val="center"/>
        <w:rPr>
          <w:b/>
        </w:rPr>
      </w:pPr>
      <w:r w:rsidRPr="00937F8A">
        <w:rPr>
          <w:b/>
        </w:rPr>
        <w:t>Člán</w:t>
      </w:r>
      <w:r w:rsidR="00A90CDE">
        <w:rPr>
          <w:b/>
        </w:rPr>
        <w:t>ok I</w:t>
      </w:r>
      <w:r w:rsidR="00913AF4">
        <w:rPr>
          <w:b/>
        </w:rPr>
        <w:t>I</w:t>
      </w:r>
    </w:p>
    <w:p w:rsidR="00113A43" w:rsidRPr="00937F8A" w:rsidRDefault="00113A43" w:rsidP="00113A43">
      <w:pPr>
        <w:pStyle w:val="Nadpis1"/>
        <w:spacing w:after="240" w:line="276" w:lineRule="auto"/>
        <w:rPr>
          <w:rFonts w:ascii="Times New Roman" w:hAnsi="Times New Roman" w:cs="Times New Roman"/>
          <w:bCs w:val="0"/>
          <w:lang w:val="sk-SK" w:eastAsia="sk-SK"/>
        </w:rPr>
      </w:pPr>
      <w:bookmarkStart w:id="1" w:name="_Toc480460981"/>
      <w:r w:rsidRPr="00937F8A">
        <w:rPr>
          <w:rFonts w:ascii="Times New Roman" w:hAnsi="Times New Roman" w:cs="Times New Roman"/>
          <w:bCs w:val="0"/>
          <w:lang w:val="sk-SK" w:eastAsia="sk-SK"/>
        </w:rPr>
        <w:t>Vymedzenie konfliktu záujmov</w:t>
      </w:r>
      <w:bookmarkEnd w:id="1"/>
    </w:p>
    <w:p w:rsidR="00113A43" w:rsidRPr="00937F8A" w:rsidRDefault="00113A43" w:rsidP="00113A43">
      <w:pPr>
        <w:pStyle w:val="Odsekzoznamu"/>
        <w:numPr>
          <w:ilvl w:val="0"/>
          <w:numId w:val="30"/>
        </w:numPr>
        <w:spacing w:before="240" w:after="240" w:line="276" w:lineRule="auto"/>
        <w:contextualSpacing w:val="0"/>
        <w:jc w:val="both"/>
      </w:pPr>
      <w:r w:rsidRPr="001E6148">
        <w:rPr>
          <w:b/>
        </w:rPr>
        <w:t>Konfliktom záujmov</w:t>
      </w:r>
      <w:r w:rsidRPr="00937F8A">
        <w:t xml:space="preserve"> sa rozumie situácia, kedy u zainteresovaných  osôb možno dôvodne predpokladať, že  je alebo mohol byť narušený alebo ohrozený záujem na ich nestrannom a objektívnom výkone svojho zamestnania, funkcie, postavenia a/alebo pri iných plneniach úloh, či už z osobných, finančných alebo z akýchkoľvek iných záujmov, ktoré by mohli mať za následok významné riziko poškodenia </w:t>
      </w:r>
      <w:r>
        <w:t>chránených záujmov</w:t>
      </w:r>
      <w:r w:rsidRPr="00937F8A">
        <w:t>.</w:t>
      </w:r>
    </w:p>
    <w:p w:rsidR="00113A43" w:rsidRPr="00937F8A" w:rsidRDefault="00113A43" w:rsidP="00113A43">
      <w:pPr>
        <w:pStyle w:val="Odsekzoznamu"/>
        <w:numPr>
          <w:ilvl w:val="0"/>
          <w:numId w:val="30"/>
        </w:numPr>
        <w:spacing w:before="240" w:after="240" w:line="276" w:lineRule="auto"/>
        <w:ind w:left="357" w:hanging="357"/>
        <w:contextualSpacing w:val="0"/>
        <w:jc w:val="both"/>
      </w:pPr>
      <w:r>
        <w:t>Na účely tejto politiky</w:t>
      </w:r>
      <w:r w:rsidRPr="00937F8A">
        <w:t xml:space="preserve"> </w:t>
      </w:r>
      <w:r>
        <w:t>CDCP rozlišuje</w:t>
      </w:r>
      <w:r w:rsidRPr="00937F8A">
        <w:t xml:space="preserve"> konflikt záujmov:  </w:t>
      </w:r>
    </w:p>
    <w:p w:rsidR="00113A43" w:rsidRPr="00937F8A" w:rsidRDefault="00113A43" w:rsidP="0087550E">
      <w:pPr>
        <w:pStyle w:val="Odsekzoznamu"/>
        <w:numPr>
          <w:ilvl w:val="0"/>
          <w:numId w:val="37"/>
        </w:numPr>
        <w:spacing w:before="240" w:after="240" w:line="276" w:lineRule="auto"/>
        <w:ind w:left="567" w:hanging="283"/>
        <w:contextualSpacing w:val="0"/>
        <w:jc w:val="both"/>
      </w:pPr>
      <w:r w:rsidRPr="00937F8A">
        <w:rPr>
          <w:b/>
        </w:rPr>
        <w:t>potenciálny</w:t>
      </w:r>
      <w:r w:rsidRPr="00937F8A">
        <w:t xml:space="preserve">, ak sú naplnené formálne znaky podľa bodu 1 a hrozí riziko vzniku skutočného konfliktu záujmov, ale ku konaniu zainteresovaných osôb  alebo k okolnostiam spôsobujúcich vznik konfliktu záujmov, ktorým by bol poškodený </w:t>
      </w:r>
      <w:r>
        <w:t>chránený záujem,</w:t>
      </w:r>
      <w:r w:rsidRPr="00937F8A">
        <w:t xml:space="preserve"> zatiaľ nedošlo. </w:t>
      </w:r>
    </w:p>
    <w:p w:rsidR="00113A43" w:rsidRPr="00937F8A" w:rsidRDefault="00113A43" w:rsidP="001E6148">
      <w:pPr>
        <w:pStyle w:val="Odsekzoznamu"/>
        <w:numPr>
          <w:ilvl w:val="0"/>
          <w:numId w:val="37"/>
        </w:numPr>
        <w:spacing w:before="240" w:after="240" w:line="276" w:lineRule="auto"/>
        <w:ind w:left="567" w:hanging="283"/>
        <w:contextualSpacing w:val="0"/>
        <w:jc w:val="both"/>
      </w:pPr>
      <w:r w:rsidRPr="00937F8A">
        <w:rPr>
          <w:b/>
        </w:rPr>
        <w:t>skutočný</w:t>
      </w:r>
      <w:r w:rsidRPr="00937F8A">
        <w:t xml:space="preserve">, ak sú naplnené formálne znaky podľa bodu 1 </w:t>
      </w:r>
      <w:r>
        <w:t>a</w:t>
      </w:r>
      <w:r w:rsidRPr="00937F8A">
        <w:t xml:space="preserve"> ak </w:t>
      </w:r>
      <w:r>
        <w:t xml:space="preserve">už </w:t>
      </w:r>
      <w:r w:rsidRPr="00937F8A">
        <w:t>došlo ku konaniu alebo k okolnostiam spôsobujúcich vznik konfliktu záujmov u zainteresovaných osôb, ktorým bol</w:t>
      </w:r>
      <w:r>
        <w:t xml:space="preserve"> alebo hrozí</w:t>
      </w:r>
      <w:r w:rsidRPr="00937F8A">
        <w:t xml:space="preserve"> poškodený </w:t>
      </w:r>
      <w:r>
        <w:t>chránený záujem.</w:t>
      </w:r>
    </w:p>
    <w:p w:rsidR="00113A43" w:rsidRPr="00937F8A" w:rsidRDefault="00113A43" w:rsidP="001E6148">
      <w:pPr>
        <w:pStyle w:val="Odsekzoznamu"/>
        <w:numPr>
          <w:ilvl w:val="0"/>
          <w:numId w:val="37"/>
        </w:numPr>
        <w:spacing w:before="240" w:after="240" w:line="276" w:lineRule="auto"/>
        <w:ind w:left="567" w:hanging="283"/>
        <w:contextualSpacing w:val="0"/>
        <w:jc w:val="both"/>
      </w:pPr>
      <w:r w:rsidRPr="00937F8A">
        <w:rPr>
          <w:b/>
        </w:rPr>
        <w:t>trvalý</w:t>
      </w:r>
      <w:r w:rsidRPr="00937F8A">
        <w:t xml:space="preserve">, ak nie je možné zistenému skutočnému konfliktu záujmov účinne zabrániť alebo ho nemožno kvôli povahe veci alebo z obdobných dôvodov vylúčiť. </w:t>
      </w:r>
    </w:p>
    <w:p w:rsidR="00113A43" w:rsidRDefault="00113A43" w:rsidP="00113A43">
      <w:pPr>
        <w:pStyle w:val="Odsekzoznamu"/>
        <w:spacing w:line="276" w:lineRule="auto"/>
        <w:rPr>
          <w:b/>
        </w:rPr>
      </w:pPr>
    </w:p>
    <w:p w:rsidR="001E6148" w:rsidRDefault="001E6148" w:rsidP="00113A43">
      <w:pPr>
        <w:pStyle w:val="Odsekzoznamu"/>
        <w:spacing w:line="276" w:lineRule="auto"/>
        <w:rPr>
          <w:b/>
        </w:rPr>
      </w:pPr>
    </w:p>
    <w:p w:rsidR="001E6148" w:rsidRDefault="001E6148" w:rsidP="00113A43">
      <w:pPr>
        <w:pStyle w:val="Odsekzoznamu"/>
        <w:spacing w:line="276" w:lineRule="auto"/>
        <w:rPr>
          <w:b/>
        </w:rPr>
      </w:pPr>
    </w:p>
    <w:p w:rsidR="001E6148" w:rsidRDefault="001E6148" w:rsidP="00113A43">
      <w:pPr>
        <w:pStyle w:val="Odsekzoznamu"/>
        <w:spacing w:line="276" w:lineRule="auto"/>
        <w:rPr>
          <w:b/>
        </w:rPr>
      </w:pPr>
    </w:p>
    <w:p w:rsidR="001E6148" w:rsidRDefault="001E6148" w:rsidP="00113A43">
      <w:pPr>
        <w:pStyle w:val="Odsekzoznamu"/>
        <w:spacing w:line="276" w:lineRule="auto"/>
        <w:rPr>
          <w:b/>
        </w:rPr>
      </w:pPr>
    </w:p>
    <w:p w:rsidR="001E6148" w:rsidRPr="00937F8A" w:rsidRDefault="001E6148" w:rsidP="00113A43">
      <w:pPr>
        <w:pStyle w:val="Odsekzoznamu"/>
        <w:spacing w:line="276" w:lineRule="auto"/>
        <w:rPr>
          <w:b/>
        </w:rPr>
      </w:pPr>
    </w:p>
    <w:p w:rsidR="00113A43" w:rsidRPr="00937F8A" w:rsidRDefault="009759BC" w:rsidP="00113A43">
      <w:pPr>
        <w:pStyle w:val="Odsekzoznamu"/>
        <w:spacing w:line="276" w:lineRule="auto"/>
        <w:ind w:left="0"/>
        <w:jc w:val="center"/>
        <w:rPr>
          <w:b/>
        </w:rPr>
      </w:pPr>
      <w:r>
        <w:rPr>
          <w:b/>
        </w:rPr>
        <w:t>Článok II</w:t>
      </w:r>
      <w:r w:rsidR="00913AF4">
        <w:rPr>
          <w:b/>
        </w:rPr>
        <w:t>I</w:t>
      </w:r>
    </w:p>
    <w:p w:rsidR="00113A43" w:rsidRPr="00937F8A" w:rsidRDefault="00113A43" w:rsidP="006E3B91">
      <w:pPr>
        <w:pStyle w:val="Odsekzoznamu"/>
        <w:spacing w:line="276" w:lineRule="auto"/>
        <w:ind w:left="0"/>
        <w:jc w:val="center"/>
        <w:rPr>
          <w:b/>
        </w:rPr>
      </w:pPr>
      <w:r w:rsidRPr="00937F8A">
        <w:rPr>
          <w:b/>
        </w:rPr>
        <w:t xml:space="preserve">Zásady a opatrenia </w:t>
      </w:r>
      <w:r w:rsidR="006E3B91">
        <w:rPr>
          <w:b/>
        </w:rPr>
        <w:t xml:space="preserve"> </w:t>
      </w:r>
      <w:r>
        <w:rPr>
          <w:b/>
        </w:rPr>
        <w:t>predchádzania konfliktu</w:t>
      </w:r>
      <w:r w:rsidRPr="00937F8A">
        <w:rPr>
          <w:b/>
        </w:rPr>
        <w:t xml:space="preserve"> záujmov</w:t>
      </w:r>
    </w:p>
    <w:p w:rsidR="00113A43" w:rsidRPr="00937F8A" w:rsidRDefault="00113A43" w:rsidP="00113A43">
      <w:pPr>
        <w:pStyle w:val="Odsekzoznamu"/>
        <w:numPr>
          <w:ilvl w:val="0"/>
          <w:numId w:val="31"/>
        </w:numPr>
        <w:spacing w:before="240" w:after="240" w:line="276" w:lineRule="auto"/>
        <w:ind w:left="284" w:hanging="284"/>
        <w:contextualSpacing w:val="0"/>
        <w:jc w:val="both"/>
      </w:pPr>
      <w:r w:rsidRPr="00937F8A">
        <w:t>CDCP vykonáva neustálu kontrolu a monitorovanie svojich činností a služieb, tak aby bola zabezpečená primeraná ochrana a v čo najvyššej možnej miere zamedzený vznik konfliktu záujmov</w:t>
      </w:r>
      <w:r w:rsidR="00913AF4">
        <w:t xml:space="preserve"> a snaží sa</w:t>
      </w:r>
      <w:r w:rsidRPr="00937F8A">
        <w:t xml:space="preserve"> predísť konfliktom záujmo</w:t>
      </w:r>
      <w:r>
        <w:t>v ešte pred vstupom do situácií</w:t>
      </w:r>
      <w:r w:rsidRPr="00937F8A">
        <w:t xml:space="preserve"> v ktorých sa konflikt záujmov môže vyskytnúť. </w:t>
      </w:r>
    </w:p>
    <w:p w:rsidR="00113A43" w:rsidRPr="00937F8A" w:rsidRDefault="00113A43" w:rsidP="00113A43">
      <w:pPr>
        <w:pStyle w:val="Odsekzoznamu"/>
        <w:numPr>
          <w:ilvl w:val="0"/>
          <w:numId w:val="31"/>
        </w:numPr>
        <w:spacing w:before="240" w:after="240" w:line="276" w:lineRule="auto"/>
        <w:ind w:left="284" w:hanging="284"/>
        <w:contextualSpacing w:val="0"/>
        <w:jc w:val="both"/>
      </w:pPr>
      <w:r w:rsidRPr="00937F8A">
        <w:t>CDCP plne rešpektuje obmedzenia a opatrenia zamerané na predchádzanie konfliktu záujmov, ktoré sú  ustanovené platnými právnymi predpismi SR, právnymi aktmi Európskej únie a to najmä Nariadením CSDR a</w:t>
      </w:r>
      <w:r>
        <w:t> </w:t>
      </w:r>
      <w:r w:rsidRPr="00937F8A">
        <w:t>RTS</w:t>
      </w:r>
      <w:r>
        <w:t>.</w:t>
      </w:r>
    </w:p>
    <w:p w:rsidR="00113A43" w:rsidRPr="00937F8A" w:rsidRDefault="00113A43" w:rsidP="00113A43">
      <w:pPr>
        <w:pStyle w:val="Odsekzoznamu"/>
        <w:numPr>
          <w:ilvl w:val="0"/>
          <w:numId w:val="31"/>
        </w:numPr>
        <w:spacing w:before="240" w:after="240" w:line="276" w:lineRule="auto"/>
        <w:ind w:left="284" w:hanging="284"/>
        <w:contextualSpacing w:val="0"/>
        <w:jc w:val="both"/>
        <w:rPr>
          <w:b/>
        </w:rPr>
      </w:pPr>
      <w:r w:rsidRPr="00937F8A">
        <w:t xml:space="preserve">CDCP má nastavenú </w:t>
      </w:r>
      <w:r w:rsidRPr="00221AAD">
        <w:t>organizačnú štruktúru</w:t>
      </w:r>
      <w:r w:rsidRPr="00937F8A">
        <w:t xml:space="preserve"> rešpektujúcu pravidlá nevyhnutného oddelenia nezlučiteľných funkcií. Oddelenie nezlučiteľných funkcií znamená personálne oddelenie a systémové zabránenie ich vzájomného ovplyvňovania a nežiaduceho toku informácií,  ktorý by mohol viesť k ich nekorektnému využitiu a tým aj k prípadnému vzniku konfliktov záujmov. </w:t>
      </w:r>
    </w:p>
    <w:p w:rsidR="00113A43" w:rsidRPr="00937F8A" w:rsidRDefault="00113A43" w:rsidP="00113A43">
      <w:pPr>
        <w:pStyle w:val="Odsekzoznamu"/>
        <w:numPr>
          <w:ilvl w:val="0"/>
          <w:numId w:val="31"/>
        </w:numPr>
        <w:spacing w:before="240" w:after="240" w:line="276" w:lineRule="auto"/>
        <w:ind w:left="284" w:hanging="284"/>
        <w:contextualSpacing w:val="0"/>
        <w:jc w:val="both"/>
      </w:pPr>
      <w:r w:rsidRPr="00937F8A">
        <w:t xml:space="preserve">Systém odmeňovania zamestnancov CDCP je nastavený tak, aby nemotivoval ku vzniku konfliktu záujmov. Všetci členovia </w:t>
      </w:r>
      <w:r>
        <w:t xml:space="preserve">riadiacich </w:t>
      </w:r>
      <w:r w:rsidRPr="00937F8A">
        <w:t xml:space="preserve">orgánov CDCP, </w:t>
      </w:r>
      <w:r>
        <w:t xml:space="preserve">vrcholoví </w:t>
      </w:r>
      <w:r w:rsidRPr="00937F8A">
        <w:t>manažéri CDCP a zamestnanci CDCP sú obmedzení ohľadom prijímania darov alebo iných výhod súvisiacich s výkonom ich funkcie, resp. plnenia práce.</w:t>
      </w:r>
    </w:p>
    <w:p w:rsidR="00113A43" w:rsidRPr="00937F8A" w:rsidRDefault="00113A43" w:rsidP="00113A43">
      <w:pPr>
        <w:pStyle w:val="Odsekzoznamu"/>
        <w:numPr>
          <w:ilvl w:val="0"/>
          <w:numId w:val="31"/>
        </w:numPr>
        <w:spacing w:before="240" w:after="240" w:line="276" w:lineRule="auto"/>
        <w:ind w:left="284" w:hanging="284"/>
        <w:contextualSpacing w:val="0"/>
        <w:jc w:val="both"/>
      </w:pPr>
      <w:r w:rsidRPr="00937F8A">
        <w:t>V podmienkach CDCP sú relevantné nasledujúce základ</w:t>
      </w:r>
      <w:r>
        <w:t>né zásady vo vzťahu ku konfliktom</w:t>
      </w:r>
      <w:r w:rsidRPr="00937F8A">
        <w:t xml:space="preserve"> záujmov:</w:t>
      </w:r>
    </w:p>
    <w:p w:rsidR="00113A43" w:rsidRPr="002164BB" w:rsidRDefault="00113A43" w:rsidP="00113A43">
      <w:pPr>
        <w:pStyle w:val="Odsekzoznamu"/>
        <w:numPr>
          <w:ilvl w:val="0"/>
          <w:numId w:val="15"/>
        </w:numPr>
        <w:spacing w:before="240" w:after="240" w:line="276" w:lineRule="auto"/>
        <w:contextualSpacing w:val="0"/>
        <w:jc w:val="both"/>
      </w:pPr>
      <w:r w:rsidRPr="002164BB">
        <w:t>predchádzanie konfliktom záujmov,</w:t>
      </w:r>
    </w:p>
    <w:p w:rsidR="00113A43" w:rsidRPr="002164BB" w:rsidRDefault="00113A43" w:rsidP="00113A43">
      <w:pPr>
        <w:pStyle w:val="Odsekzoznamu"/>
        <w:numPr>
          <w:ilvl w:val="0"/>
          <w:numId w:val="15"/>
        </w:numPr>
        <w:spacing w:before="240" w:after="240" w:line="276" w:lineRule="auto"/>
        <w:contextualSpacing w:val="0"/>
        <w:jc w:val="both"/>
      </w:pPr>
      <w:r w:rsidRPr="002164BB">
        <w:t>identifikovanie konflikt</w:t>
      </w:r>
      <w:r>
        <w:t xml:space="preserve">u </w:t>
      </w:r>
      <w:r w:rsidRPr="002164BB">
        <w:t>záujmov,</w:t>
      </w:r>
    </w:p>
    <w:p w:rsidR="00113A43" w:rsidRPr="002164BB" w:rsidRDefault="00113A43" w:rsidP="00113A43">
      <w:pPr>
        <w:pStyle w:val="Odsekzoznamu"/>
        <w:numPr>
          <w:ilvl w:val="0"/>
          <w:numId w:val="15"/>
        </w:numPr>
        <w:spacing w:before="240" w:after="240" w:line="276" w:lineRule="auto"/>
        <w:contextualSpacing w:val="0"/>
        <w:jc w:val="both"/>
      </w:pPr>
      <w:r>
        <w:t>riešenie</w:t>
      </w:r>
      <w:r w:rsidRPr="002164BB">
        <w:t xml:space="preserve"> konflikt</w:t>
      </w:r>
      <w:r>
        <w:t>u</w:t>
      </w:r>
      <w:r w:rsidRPr="002164BB">
        <w:t xml:space="preserve"> záujmov,</w:t>
      </w:r>
    </w:p>
    <w:p w:rsidR="00113A43" w:rsidRPr="002164BB" w:rsidRDefault="00113A43" w:rsidP="00113A43">
      <w:pPr>
        <w:pStyle w:val="Odsekzoznamu"/>
        <w:numPr>
          <w:ilvl w:val="0"/>
          <w:numId w:val="15"/>
        </w:numPr>
        <w:spacing w:before="240" w:after="240" w:line="276" w:lineRule="auto"/>
        <w:contextualSpacing w:val="0"/>
        <w:jc w:val="both"/>
      </w:pPr>
      <w:r w:rsidRPr="002164BB">
        <w:t>prijatie primeraných  opatrení,</w:t>
      </w:r>
    </w:p>
    <w:p w:rsidR="00913AF4" w:rsidRDefault="00113A43" w:rsidP="00113A43">
      <w:pPr>
        <w:pStyle w:val="Odsekzoznamu"/>
        <w:numPr>
          <w:ilvl w:val="0"/>
          <w:numId w:val="15"/>
        </w:numPr>
        <w:spacing w:before="240" w:after="240" w:line="276" w:lineRule="auto"/>
        <w:contextualSpacing w:val="0"/>
        <w:jc w:val="both"/>
      </w:pPr>
      <w:r w:rsidRPr="002164BB">
        <w:t>vykonanie nápravy</w:t>
      </w:r>
      <w:r>
        <w:t xml:space="preserve"> </w:t>
      </w:r>
      <w:r w:rsidRPr="002164BB">
        <w:t>pri zistených konflikto</w:t>
      </w:r>
      <w:r>
        <w:t xml:space="preserve">ch </w:t>
      </w:r>
      <w:r w:rsidRPr="002164BB">
        <w:t>záujmov</w:t>
      </w:r>
      <w:r w:rsidR="00913AF4">
        <w:t>,</w:t>
      </w:r>
    </w:p>
    <w:p w:rsidR="00113A43" w:rsidRPr="002164BB" w:rsidRDefault="00913AF4" w:rsidP="00113A43">
      <w:pPr>
        <w:pStyle w:val="Odsekzoznamu"/>
        <w:numPr>
          <w:ilvl w:val="0"/>
          <w:numId w:val="15"/>
        </w:numPr>
        <w:spacing w:before="240" w:after="240" w:line="276" w:lineRule="auto"/>
        <w:contextualSpacing w:val="0"/>
        <w:jc w:val="both"/>
      </w:pPr>
      <w:r>
        <w:t>ochrana dôverných informácií</w:t>
      </w:r>
    </w:p>
    <w:p w:rsidR="0098296C" w:rsidRDefault="00113A43" w:rsidP="0098296C">
      <w:pPr>
        <w:pStyle w:val="Odsekzoznamu"/>
        <w:numPr>
          <w:ilvl w:val="0"/>
          <w:numId w:val="31"/>
        </w:numPr>
        <w:spacing w:before="240" w:after="240" w:line="276" w:lineRule="auto"/>
        <w:ind w:left="284" w:hanging="284"/>
        <w:jc w:val="both"/>
      </w:pPr>
      <w:r>
        <w:t xml:space="preserve">CDCP vo vzťahu ku všetkým klientom zachováva princíp rovnakého </w:t>
      </w:r>
      <w:r w:rsidR="006E3B91">
        <w:t>a spravodlivého  zaobchádzania.</w:t>
      </w:r>
    </w:p>
    <w:p w:rsidR="0096258C" w:rsidRDefault="0096258C" w:rsidP="0096258C">
      <w:pPr>
        <w:spacing w:before="240" w:after="240" w:line="276" w:lineRule="auto"/>
        <w:jc w:val="both"/>
      </w:pPr>
    </w:p>
    <w:p w:rsidR="0096258C" w:rsidRDefault="0096258C" w:rsidP="0096258C">
      <w:pPr>
        <w:spacing w:before="240" w:after="240" w:line="276" w:lineRule="auto"/>
        <w:jc w:val="both"/>
      </w:pPr>
    </w:p>
    <w:p w:rsidR="0096258C" w:rsidRDefault="0096258C" w:rsidP="0096258C">
      <w:pPr>
        <w:spacing w:before="240" w:after="240" w:line="276" w:lineRule="auto"/>
        <w:jc w:val="both"/>
      </w:pPr>
    </w:p>
    <w:p w:rsidR="0096258C" w:rsidRPr="0098296C" w:rsidRDefault="0096258C" w:rsidP="0096258C">
      <w:pPr>
        <w:spacing w:before="240" w:after="240" w:line="276" w:lineRule="auto"/>
        <w:jc w:val="both"/>
      </w:pPr>
    </w:p>
    <w:p w:rsidR="00113A43" w:rsidRPr="00937F8A" w:rsidRDefault="009759BC" w:rsidP="00113A43">
      <w:pPr>
        <w:spacing w:line="276" w:lineRule="auto"/>
        <w:jc w:val="center"/>
        <w:rPr>
          <w:b/>
        </w:rPr>
      </w:pPr>
      <w:r>
        <w:rPr>
          <w:b/>
        </w:rPr>
        <w:t>Článok I</w:t>
      </w:r>
      <w:r w:rsidR="00913AF4">
        <w:rPr>
          <w:b/>
        </w:rPr>
        <w:t>V</w:t>
      </w:r>
    </w:p>
    <w:p w:rsidR="00113A43" w:rsidRPr="00937F8A" w:rsidRDefault="00113A43" w:rsidP="00113A43">
      <w:pPr>
        <w:pStyle w:val="Odsekzoznamu"/>
        <w:spacing w:after="240" w:line="276" w:lineRule="auto"/>
        <w:jc w:val="center"/>
        <w:rPr>
          <w:b/>
          <w:bCs/>
        </w:rPr>
      </w:pPr>
      <w:r w:rsidRPr="00937F8A">
        <w:rPr>
          <w:b/>
          <w:bCs/>
        </w:rPr>
        <w:t>Potenciálni účastníci konfliktu záujmov</w:t>
      </w:r>
    </w:p>
    <w:p w:rsidR="00113A43" w:rsidRPr="00937F8A" w:rsidRDefault="00113A43" w:rsidP="00011D9A">
      <w:pPr>
        <w:pStyle w:val="Zkladntext"/>
        <w:numPr>
          <w:ilvl w:val="0"/>
          <w:numId w:val="38"/>
        </w:numPr>
        <w:spacing w:before="120" w:after="240" w:line="276" w:lineRule="auto"/>
        <w:ind w:left="284" w:hanging="284"/>
        <w:rPr>
          <w:sz w:val="24"/>
          <w:szCs w:val="24"/>
        </w:rPr>
      </w:pPr>
      <w:r w:rsidRPr="00937F8A">
        <w:rPr>
          <w:sz w:val="24"/>
          <w:szCs w:val="24"/>
        </w:rPr>
        <w:t>Konflikt záujmov môže v podmienkach CDCP vzniknúť najmä medzi:</w:t>
      </w:r>
    </w:p>
    <w:p w:rsidR="00113A43" w:rsidRPr="00937F8A" w:rsidRDefault="009E1FF7" w:rsidP="00113A43">
      <w:pPr>
        <w:pStyle w:val="Zkladntext"/>
        <w:numPr>
          <w:ilvl w:val="0"/>
          <w:numId w:val="1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zamestnancami CDCP, členmi vrcholového manažmentu</w:t>
      </w:r>
      <w:r w:rsidRPr="00BF4B26">
        <w:rPr>
          <w:sz w:val="24"/>
          <w:szCs w:val="24"/>
        </w:rPr>
        <w:t xml:space="preserve"> CDCP,</w:t>
      </w:r>
      <w:r w:rsidRPr="00937F8A">
        <w:rPr>
          <w:sz w:val="24"/>
          <w:szCs w:val="24"/>
        </w:rPr>
        <w:t xml:space="preserve"> člen</w:t>
      </w:r>
      <w:r>
        <w:rPr>
          <w:sz w:val="24"/>
          <w:szCs w:val="24"/>
        </w:rPr>
        <w:t>mi</w:t>
      </w:r>
      <w:r w:rsidRPr="00937F8A">
        <w:rPr>
          <w:sz w:val="24"/>
          <w:szCs w:val="24"/>
        </w:rPr>
        <w:t xml:space="preserve"> riadiaceho orgánu CDCP </w:t>
      </w:r>
      <w:r w:rsidR="00913AF4">
        <w:rPr>
          <w:sz w:val="24"/>
          <w:szCs w:val="24"/>
        </w:rPr>
        <w:t xml:space="preserve">navzájom a medzi uvedenými osobami </w:t>
      </w:r>
      <w:r w:rsidRPr="00937F8A">
        <w:rPr>
          <w:sz w:val="24"/>
          <w:szCs w:val="24"/>
        </w:rPr>
        <w:t xml:space="preserve">na jednej strane alebo </w:t>
      </w:r>
      <w:r w:rsidR="00913AF4">
        <w:rPr>
          <w:sz w:val="24"/>
          <w:szCs w:val="24"/>
        </w:rPr>
        <w:t xml:space="preserve"> a </w:t>
      </w:r>
      <w:r>
        <w:rPr>
          <w:sz w:val="24"/>
          <w:szCs w:val="24"/>
        </w:rPr>
        <w:t>CDCP</w:t>
      </w:r>
      <w:r w:rsidRPr="00937F8A">
        <w:rPr>
          <w:sz w:val="24"/>
          <w:szCs w:val="24"/>
        </w:rPr>
        <w:t xml:space="preserve"> na strane</w:t>
      </w:r>
      <w:r>
        <w:rPr>
          <w:sz w:val="24"/>
          <w:szCs w:val="24"/>
        </w:rPr>
        <w:t xml:space="preserve"> druhej</w:t>
      </w:r>
      <w:r w:rsidR="00113A43" w:rsidRPr="00937F8A">
        <w:rPr>
          <w:sz w:val="24"/>
          <w:szCs w:val="24"/>
        </w:rPr>
        <w:t>,</w:t>
      </w:r>
    </w:p>
    <w:p w:rsidR="00113A43" w:rsidRPr="00937F8A" w:rsidRDefault="00113A43" w:rsidP="00113A43">
      <w:pPr>
        <w:pStyle w:val="Zkladntext"/>
        <w:numPr>
          <w:ilvl w:val="0"/>
          <w:numId w:val="1"/>
        </w:numPr>
        <w:spacing w:before="120" w:after="0" w:line="276" w:lineRule="auto"/>
        <w:rPr>
          <w:sz w:val="24"/>
          <w:szCs w:val="24"/>
        </w:rPr>
      </w:pPr>
      <w:r w:rsidRPr="00937F8A">
        <w:rPr>
          <w:sz w:val="24"/>
          <w:szCs w:val="24"/>
        </w:rPr>
        <w:t>CDCP, zamestnancami CDCP,</w:t>
      </w:r>
      <w:r>
        <w:rPr>
          <w:sz w:val="24"/>
          <w:szCs w:val="24"/>
        </w:rPr>
        <w:t xml:space="preserve"> členmi </w:t>
      </w:r>
      <w:r w:rsidRPr="00BF4B26">
        <w:rPr>
          <w:sz w:val="24"/>
          <w:szCs w:val="24"/>
        </w:rPr>
        <w:t>vrcholov</w:t>
      </w:r>
      <w:r>
        <w:rPr>
          <w:sz w:val="24"/>
          <w:szCs w:val="24"/>
        </w:rPr>
        <w:t>ého</w:t>
      </w:r>
      <w:r w:rsidRPr="00BF4B26">
        <w:rPr>
          <w:sz w:val="24"/>
          <w:szCs w:val="24"/>
        </w:rPr>
        <w:t xml:space="preserve"> mana</w:t>
      </w:r>
      <w:r>
        <w:rPr>
          <w:sz w:val="24"/>
          <w:szCs w:val="24"/>
        </w:rPr>
        <w:t>žmentu</w:t>
      </w:r>
      <w:r w:rsidRPr="00BF4B26">
        <w:rPr>
          <w:sz w:val="24"/>
          <w:szCs w:val="24"/>
        </w:rPr>
        <w:t xml:space="preserve"> CDCP,</w:t>
      </w:r>
      <w:r w:rsidRPr="00937F8A">
        <w:rPr>
          <w:sz w:val="24"/>
          <w:szCs w:val="24"/>
        </w:rPr>
        <w:t xml:space="preserve"> členmi riadiaceho orgánu CDCP alebo akoukoľvek osobou priamo či nepriamo prepojenou s t</w:t>
      </w:r>
      <w:r>
        <w:rPr>
          <w:sz w:val="24"/>
          <w:szCs w:val="24"/>
        </w:rPr>
        <w:t>ými osobami na jednej strane a klientmi</w:t>
      </w:r>
      <w:r w:rsidRPr="00937F8A">
        <w:rPr>
          <w:sz w:val="24"/>
          <w:szCs w:val="24"/>
        </w:rPr>
        <w:t xml:space="preserve"> na strane druhej, </w:t>
      </w:r>
    </w:p>
    <w:p w:rsidR="00113A43" w:rsidRPr="00937F8A" w:rsidRDefault="00113A43" w:rsidP="00113A43">
      <w:pPr>
        <w:pStyle w:val="Zkladntext"/>
        <w:numPr>
          <w:ilvl w:val="0"/>
          <w:numId w:val="1"/>
        </w:numPr>
        <w:spacing w:before="120" w:after="0" w:line="276" w:lineRule="auto"/>
        <w:rPr>
          <w:sz w:val="24"/>
          <w:szCs w:val="24"/>
        </w:rPr>
      </w:pPr>
      <w:r w:rsidRPr="00937F8A">
        <w:rPr>
          <w:sz w:val="24"/>
          <w:szCs w:val="24"/>
        </w:rPr>
        <w:t>CDCP, zamestnancami CDCP,</w:t>
      </w:r>
      <w:r>
        <w:rPr>
          <w:sz w:val="24"/>
          <w:szCs w:val="24"/>
        </w:rPr>
        <w:t xml:space="preserve"> členmi </w:t>
      </w:r>
      <w:r w:rsidRPr="00BF4B26">
        <w:rPr>
          <w:sz w:val="24"/>
          <w:szCs w:val="24"/>
        </w:rPr>
        <w:t>vrcholov</w:t>
      </w:r>
      <w:r>
        <w:rPr>
          <w:sz w:val="24"/>
          <w:szCs w:val="24"/>
        </w:rPr>
        <w:t>ého</w:t>
      </w:r>
      <w:r w:rsidRPr="00BF4B26">
        <w:rPr>
          <w:sz w:val="24"/>
          <w:szCs w:val="24"/>
        </w:rPr>
        <w:t xml:space="preserve"> mana</w:t>
      </w:r>
      <w:r>
        <w:rPr>
          <w:sz w:val="24"/>
          <w:szCs w:val="24"/>
        </w:rPr>
        <w:t>žmentu</w:t>
      </w:r>
      <w:r w:rsidRPr="00BF4B26">
        <w:rPr>
          <w:sz w:val="24"/>
          <w:szCs w:val="24"/>
        </w:rPr>
        <w:t xml:space="preserve"> CDCP,</w:t>
      </w:r>
      <w:r w:rsidRPr="00937F8A">
        <w:rPr>
          <w:sz w:val="24"/>
          <w:szCs w:val="24"/>
        </w:rPr>
        <w:t xml:space="preserve"> členmi riadiaceho orgánu CDCP alebo akoukoľvek osobou priamo či nepriamo prepojenou s tými osobami na jednej strane a klientmi účastníkov na strane druhej, </w:t>
      </w:r>
    </w:p>
    <w:p w:rsidR="00113A43" w:rsidRDefault="00113A43" w:rsidP="00113A43">
      <w:pPr>
        <w:pStyle w:val="Zkladntext"/>
        <w:numPr>
          <w:ilvl w:val="0"/>
          <w:numId w:val="1"/>
        </w:numPr>
        <w:spacing w:before="120" w:after="0" w:line="276" w:lineRule="auto"/>
        <w:rPr>
          <w:sz w:val="24"/>
          <w:szCs w:val="24"/>
        </w:rPr>
      </w:pPr>
      <w:r w:rsidRPr="00937F8A">
        <w:rPr>
          <w:sz w:val="24"/>
          <w:szCs w:val="24"/>
        </w:rPr>
        <w:t xml:space="preserve">CDCP, zamestnancami CDCP, </w:t>
      </w:r>
      <w:r>
        <w:rPr>
          <w:sz w:val="24"/>
          <w:szCs w:val="24"/>
        </w:rPr>
        <w:t xml:space="preserve">členmi </w:t>
      </w:r>
      <w:r w:rsidRPr="00BF4B26">
        <w:rPr>
          <w:sz w:val="24"/>
          <w:szCs w:val="24"/>
        </w:rPr>
        <w:t>vrcholov</w:t>
      </w:r>
      <w:r>
        <w:rPr>
          <w:sz w:val="24"/>
          <w:szCs w:val="24"/>
        </w:rPr>
        <w:t>ého</w:t>
      </w:r>
      <w:r w:rsidRPr="00BF4B26">
        <w:rPr>
          <w:sz w:val="24"/>
          <w:szCs w:val="24"/>
        </w:rPr>
        <w:t xml:space="preserve"> mana</w:t>
      </w:r>
      <w:r>
        <w:rPr>
          <w:sz w:val="24"/>
          <w:szCs w:val="24"/>
        </w:rPr>
        <w:t>žmentu</w:t>
      </w:r>
      <w:r w:rsidRPr="00BF4B26">
        <w:rPr>
          <w:sz w:val="24"/>
          <w:szCs w:val="24"/>
        </w:rPr>
        <w:t xml:space="preserve"> CDCP</w:t>
      </w:r>
      <w:r w:rsidRPr="00937F8A">
        <w:rPr>
          <w:sz w:val="24"/>
          <w:szCs w:val="24"/>
        </w:rPr>
        <w:t>, členmi riadiacich orgánov CDCP alebo akoukoľvek osobou priamo alebo nepriamo prepojenou s týmito osobami na jednej strane a subjektmi, ktorí externe zabezpečujú činnosti a služby využívané CDCP na strane druhej.</w:t>
      </w:r>
    </w:p>
    <w:p w:rsidR="00BE319A" w:rsidRDefault="00BE319A" w:rsidP="00BE319A">
      <w:pPr>
        <w:pStyle w:val="Zkladntext"/>
        <w:spacing w:before="120" w:after="0" w:line="276" w:lineRule="auto"/>
        <w:ind w:left="720"/>
        <w:rPr>
          <w:sz w:val="24"/>
          <w:szCs w:val="24"/>
        </w:rPr>
      </w:pPr>
    </w:p>
    <w:p w:rsidR="00BE319A" w:rsidRPr="00937F8A" w:rsidRDefault="00BE319A" w:rsidP="00BE319A">
      <w:pPr>
        <w:spacing w:line="276" w:lineRule="auto"/>
        <w:contextualSpacing/>
        <w:jc w:val="center"/>
        <w:rPr>
          <w:b/>
        </w:rPr>
      </w:pPr>
      <w:r w:rsidRPr="00937F8A">
        <w:rPr>
          <w:b/>
        </w:rPr>
        <w:t>Článok V</w:t>
      </w:r>
    </w:p>
    <w:p w:rsidR="00BE319A" w:rsidRDefault="00BE319A" w:rsidP="00BE319A">
      <w:pPr>
        <w:spacing w:before="240" w:line="276" w:lineRule="auto"/>
        <w:contextualSpacing/>
        <w:jc w:val="center"/>
        <w:rPr>
          <w:b/>
        </w:rPr>
      </w:pPr>
      <w:r w:rsidRPr="00937F8A">
        <w:rPr>
          <w:b/>
        </w:rPr>
        <w:t>Okolnosti spôsobujúce konflikt záujmov</w:t>
      </w:r>
    </w:p>
    <w:p w:rsidR="00EF5C6B" w:rsidRPr="00937F8A" w:rsidRDefault="00EF5C6B" w:rsidP="00BE319A">
      <w:pPr>
        <w:spacing w:before="240" w:line="276" w:lineRule="auto"/>
        <w:contextualSpacing/>
        <w:jc w:val="center"/>
        <w:rPr>
          <w:b/>
        </w:rPr>
      </w:pPr>
    </w:p>
    <w:p w:rsidR="00BE319A" w:rsidRPr="00937F8A" w:rsidRDefault="00BE319A" w:rsidP="00BE319A">
      <w:pPr>
        <w:pStyle w:val="Odsekzoznamu"/>
        <w:numPr>
          <w:ilvl w:val="0"/>
          <w:numId w:val="32"/>
        </w:numPr>
        <w:spacing w:before="240" w:line="276" w:lineRule="auto"/>
        <w:ind w:left="426" w:hanging="426"/>
        <w:jc w:val="both"/>
        <w:rPr>
          <w:bCs/>
        </w:rPr>
      </w:pPr>
      <w:r w:rsidRPr="00937F8A">
        <w:rPr>
          <w:bCs/>
        </w:rPr>
        <w:t>Za okolnosti, ktoré sú spôsobilé vyvodiť  konflikt záujmov medzi osobami uvedenými v čl. IV,  možno považovať také konanie zainteresovanej osoby, ktorého cieľom je najmä:</w:t>
      </w:r>
    </w:p>
    <w:p w:rsidR="00BE319A" w:rsidRPr="00937F8A" w:rsidRDefault="00BE319A" w:rsidP="00BE319A">
      <w:pPr>
        <w:pStyle w:val="Odsekzoznamu"/>
        <w:spacing w:before="240" w:line="276" w:lineRule="auto"/>
        <w:ind w:left="0"/>
        <w:jc w:val="both"/>
        <w:rPr>
          <w:bCs/>
        </w:rPr>
      </w:pPr>
    </w:p>
    <w:p w:rsidR="00BE319A" w:rsidRPr="00937F8A" w:rsidRDefault="00BE319A" w:rsidP="00EF5C6B">
      <w:pPr>
        <w:pStyle w:val="Odsekzoznamu"/>
        <w:numPr>
          <w:ilvl w:val="0"/>
          <w:numId w:val="2"/>
        </w:numPr>
        <w:spacing w:line="276" w:lineRule="auto"/>
        <w:jc w:val="both"/>
        <w:rPr>
          <w:bCs/>
        </w:rPr>
      </w:pPr>
      <w:r w:rsidRPr="00937F8A">
        <w:rPr>
          <w:bCs/>
        </w:rPr>
        <w:t>získať finančný alebo iný prospech neoprávneným využitím svojho postavenia alebo dôvernej informácie, ku ktorej má zainteresovaná osoba prístup,</w:t>
      </w:r>
    </w:p>
    <w:p w:rsidR="00BE319A" w:rsidRPr="00937F8A" w:rsidRDefault="00BE319A" w:rsidP="00EF5C6B">
      <w:pPr>
        <w:pStyle w:val="Odsekzoznamu"/>
        <w:numPr>
          <w:ilvl w:val="0"/>
          <w:numId w:val="2"/>
        </w:numPr>
        <w:spacing w:line="276" w:lineRule="auto"/>
        <w:jc w:val="both"/>
        <w:rPr>
          <w:bCs/>
        </w:rPr>
      </w:pPr>
      <w:r w:rsidRPr="00937F8A">
        <w:rPr>
          <w:bCs/>
        </w:rPr>
        <w:t xml:space="preserve">uprednostniť záujmy jedného klienta (alebo skupiny klientov) CDCP pred záujmami iného klienta (alebo inej skupiny klientov) CDCP, </w:t>
      </w:r>
    </w:p>
    <w:p w:rsidR="00BE319A" w:rsidRPr="00937F8A" w:rsidRDefault="00BE319A" w:rsidP="00EF5C6B">
      <w:pPr>
        <w:pStyle w:val="Odsekzoznamu"/>
        <w:numPr>
          <w:ilvl w:val="0"/>
          <w:numId w:val="2"/>
        </w:numPr>
        <w:spacing w:line="276" w:lineRule="auto"/>
        <w:jc w:val="both"/>
        <w:rPr>
          <w:bCs/>
        </w:rPr>
      </w:pPr>
      <w:r w:rsidRPr="00937F8A">
        <w:rPr>
          <w:bCs/>
        </w:rPr>
        <w:t>osobný záujem zainteresovanej osoby na využívaní služieb, materiálov a zariadenia CDCP na účely inej obchodnej činnosti,</w:t>
      </w:r>
    </w:p>
    <w:p w:rsidR="00BE319A" w:rsidRPr="00937F8A" w:rsidRDefault="00BE319A" w:rsidP="00EF5C6B">
      <w:pPr>
        <w:pStyle w:val="Odsekzoznamu"/>
        <w:numPr>
          <w:ilvl w:val="0"/>
          <w:numId w:val="2"/>
        </w:numPr>
        <w:spacing w:line="276" w:lineRule="auto"/>
        <w:jc w:val="both"/>
        <w:rPr>
          <w:bCs/>
        </w:rPr>
      </w:pPr>
      <w:r w:rsidRPr="00937F8A">
        <w:rPr>
          <w:bCs/>
        </w:rPr>
        <w:t>osobný alebo finančný záujem zainteresovanej osoby v subjekte, ktorý uzatvára</w:t>
      </w:r>
      <w:r>
        <w:rPr>
          <w:bCs/>
        </w:rPr>
        <w:t xml:space="preserve"> alebo má uzatvorenú</w:t>
      </w:r>
      <w:r w:rsidRPr="00937F8A">
        <w:rPr>
          <w:bCs/>
        </w:rPr>
        <w:t xml:space="preserve"> zmluvu s CDCP,</w:t>
      </w:r>
    </w:p>
    <w:p w:rsidR="00EF5C6B" w:rsidRDefault="00BE319A" w:rsidP="00EF5C6B">
      <w:pPr>
        <w:pStyle w:val="Odsekzoznamu"/>
        <w:numPr>
          <w:ilvl w:val="0"/>
          <w:numId w:val="2"/>
        </w:numPr>
        <w:spacing w:line="276" w:lineRule="auto"/>
        <w:jc w:val="both"/>
        <w:rPr>
          <w:bCs/>
        </w:rPr>
      </w:pPr>
      <w:r w:rsidRPr="00937F8A">
        <w:rPr>
          <w:bCs/>
        </w:rPr>
        <w:t xml:space="preserve">osobný alebo finančný záujem v subjekte, ktoré využíva služby CDCP.  </w:t>
      </w:r>
    </w:p>
    <w:p w:rsidR="00EF5C6B" w:rsidRDefault="00EF5C6B" w:rsidP="00EF5C6B">
      <w:pPr>
        <w:pStyle w:val="Odsekzoznamu"/>
        <w:spacing w:after="240" w:line="276" w:lineRule="auto"/>
        <w:jc w:val="both"/>
        <w:rPr>
          <w:bCs/>
        </w:rPr>
      </w:pPr>
    </w:p>
    <w:p w:rsidR="00EF5C6B" w:rsidRDefault="00EF5C6B" w:rsidP="00EF5C6B">
      <w:pPr>
        <w:pStyle w:val="Odsekzoznamu"/>
        <w:spacing w:after="240" w:line="276" w:lineRule="auto"/>
        <w:jc w:val="both"/>
        <w:rPr>
          <w:bCs/>
        </w:rPr>
      </w:pPr>
    </w:p>
    <w:p w:rsidR="00EF5C6B" w:rsidRDefault="00EF5C6B" w:rsidP="00EF5C6B">
      <w:pPr>
        <w:pStyle w:val="Odsekzoznamu"/>
        <w:spacing w:after="240" w:line="276" w:lineRule="auto"/>
        <w:jc w:val="both"/>
        <w:rPr>
          <w:bCs/>
        </w:rPr>
      </w:pPr>
    </w:p>
    <w:p w:rsidR="00EF5C6B" w:rsidRDefault="00EF5C6B" w:rsidP="00EF5C6B">
      <w:pPr>
        <w:pStyle w:val="Odsekzoznamu"/>
        <w:spacing w:after="240" w:line="276" w:lineRule="auto"/>
        <w:jc w:val="both"/>
        <w:rPr>
          <w:bCs/>
        </w:rPr>
      </w:pPr>
    </w:p>
    <w:p w:rsidR="00EF5C6B" w:rsidRPr="00EF5C6B" w:rsidRDefault="00EF5C6B" w:rsidP="00EF5C6B">
      <w:pPr>
        <w:pStyle w:val="Odsekzoznamu"/>
        <w:spacing w:after="240" w:line="276" w:lineRule="auto"/>
        <w:jc w:val="both"/>
        <w:rPr>
          <w:bCs/>
        </w:rPr>
      </w:pPr>
    </w:p>
    <w:p w:rsidR="00BE319A" w:rsidRPr="00937F8A" w:rsidRDefault="00BE319A" w:rsidP="00BE319A">
      <w:pPr>
        <w:pStyle w:val="Odsekzoznamu"/>
        <w:numPr>
          <w:ilvl w:val="0"/>
          <w:numId w:val="32"/>
        </w:numPr>
        <w:spacing w:after="240" w:line="276" w:lineRule="auto"/>
        <w:ind w:left="284" w:hanging="284"/>
        <w:jc w:val="both"/>
        <w:rPr>
          <w:bCs/>
        </w:rPr>
      </w:pPr>
      <w:r w:rsidRPr="00937F8A">
        <w:rPr>
          <w:bCs/>
        </w:rPr>
        <w:lastRenderedPageBreak/>
        <w:t>Za okolnosti spôsobujúce konflikt záujmov sa považuje aj:</w:t>
      </w:r>
    </w:p>
    <w:p w:rsidR="00BE319A" w:rsidRPr="00937F8A" w:rsidRDefault="00BE319A" w:rsidP="00BE319A">
      <w:pPr>
        <w:pStyle w:val="Odsekzoznamu"/>
        <w:spacing w:after="240" w:line="276" w:lineRule="auto"/>
        <w:ind w:left="284"/>
        <w:jc w:val="both"/>
        <w:rPr>
          <w:bCs/>
        </w:rPr>
      </w:pPr>
    </w:p>
    <w:p w:rsidR="00BE319A" w:rsidRPr="00937F8A" w:rsidRDefault="00BE319A" w:rsidP="00BE319A">
      <w:pPr>
        <w:pStyle w:val="Odsekzoznamu"/>
        <w:numPr>
          <w:ilvl w:val="0"/>
          <w:numId w:val="9"/>
        </w:numPr>
        <w:spacing w:after="240" w:line="276" w:lineRule="auto"/>
        <w:jc w:val="both"/>
        <w:rPr>
          <w:bCs/>
        </w:rPr>
      </w:pPr>
      <w:r w:rsidRPr="00937F8A">
        <w:rPr>
          <w:bCs/>
        </w:rPr>
        <w:t xml:space="preserve">majetková účasť alebo osobný záujem zainteresovanej osoby v  subjekte, ktorý externe poskytuje služby pre CDCP, vrátane akéhokoľvek subjektu, ktorému CDCP zverí zabezpečovanie služieb alebo činnosti, </w:t>
      </w:r>
    </w:p>
    <w:p w:rsidR="00BE319A" w:rsidRPr="00937F8A" w:rsidRDefault="00BE319A" w:rsidP="00BE319A">
      <w:pPr>
        <w:pStyle w:val="Odsekzoznamu"/>
        <w:numPr>
          <w:ilvl w:val="0"/>
          <w:numId w:val="9"/>
        </w:numPr>
        <w:spacing w:after="240" w:line="276" w:lineRule="auto"/>
        <w:jc w:val="both"/>
        <w:rPr>
          <w:bCs/>
        </w:rPr>
      </w:pPr>
      <w:r w:rsidRPr="00937F8A">
        <w:rPr>
          <w:bCs/>
        </w:rPr>
        <w:t>prepojenie zainteresovanej osoby s akoukoľvek právnickou alebo fyzickou osobou, ktorá má vplyv na činnosti subjektu, ktorý externe poskytuje služby využívané CDCP alebo využíva služby poskytované CDCP</w:t>
      </w:r>
    </w:p>
    <w:p w:rsidR="00BE319A" w:rsidRDefault="00BE319A" w:rsidP="00BE319A">
      <w:pPr>
        <w:pStyle w:val="Odsekzoznamu"/>
        <w:numPr>
          <w:ilvl w:val="0"/>
          <w:numId w:val="9"/>
        </w:numPr>
        <w:spacing w:after="240" w:line="276" w:lineRule="auto"/>
        <w:jc w:val="both"/>
        <w:rPr>
          <w:bCs/>
        </w:rPr>
      </w:pPr>
      <w:r w:rsidRPr="00937F8A">
        <w:rPr>
          <w:bCs/>
        </w:rPr>
        <w:t xml:space="preserve">prípad keď zainteresovaná osoba je členom riadiaceho orgánu alebo iných orgánov alebo výborov subjektu, ktorý externe poskytuje služby využívané CDCP alebo využíva služby poskytované CDCP. </w:t>
      </w:r>
    </w:p>
    <w:p w:rsidR="00BE319A" w:rsidRDefault="00BE319A" w:rsidP="00BE319A">
      <w:pPr>
        <w:pStyle w:val="Odsekzoznamu"/>
        <w:spacing w:after="240" w:line="276" w:lineRule="auto"/>
        <w:jc w:val="both"/>
        <w:rPr>
          <w:bCs/>
        </w:rPr>
      </w:pPr>
    </w:p>
    <w:p w:rsidR="00113A43" w:rsidRPr="003555B4" w:rsidRDefault="00BE319A" w:rsidP="00A9143D">
      <w:pPr>
        <w:pStyle w:val="Odsekzoznamu"/>
        <w:numPr>
          <w:ilvl w:val="0"/>
          <w:numId w:val="32"/>
        </w:numPr>
        <w:spacing w:after="240" w:line="276" w:lineRule="auto"/>
        <w:ind w:left="284" w:hanging="284"/>
        <w:jc w:val="both"/>
        <w:rPr>
          <w:bCs/>
        </w:rPr>
      </w:pPr>
      <w:r w:rsidRPr="00BE319A">
        <w:rPr>
          <w:bCs/>
        </w:rPr>
        <w:t xml:space="preserve">Na </w:t>
      </w:r>
      <w:r w:rsidRPr="00937F8A">
        <w:t>účely zistenia konfliktov záujmov sa vždy berú do úvahy najmä okolnosti spôsobujúce konflikty záujmov podľa ods. 1 a 2 tohto článku</w:t>
      </w:r>
      <w:r w:rsidR="00913AF4">
        <w:t xml:space="preserve"> a ustanovení príslušných právnych predpisov</w:t>
      </w:r>
      <w:r w:rsidRPr="00937F8A">
        <w:t>. Tým nie sú dotknuté iné okolnosti a konania, ktoré sú spôsobilé vyvodiť konflikt záujmov a pri ktorých vzniká riziko škôd chránených záujmov.</w:t>
      </w:r>
    </w:p>
    <w:p w:rsidR="003555B4" w:rsidRDefault="003555B4" w:rsidP="003555B4">
      <w:pPr>
        <w:pStyle w:val="Odsekzoznamu"/>
        <w:spacing w:after="240" w:line="276" w:lineRule="auto"/>
        <w:ind w:left="284"/>
        <w:jc w:val="both"/>
        <w:rPr>
          <w:bCs/>
        </w:rPr>
      </w:pPr>
    </w:p>
    <w:p w:rsidR="00567DD0" w:rsidRPr="00BE319A" w:rsidRDefault="00567DD0" w:rsidP="003555B4">
      <w:pPr>
        <w:pStyle w:val="Odsekzoznamu"/>
        <w:spacing w:after="240" w:line="276" w:lineRule="auto"/>
        <w:ind w:left="284"/>
        <w:jc w:val="both"/>
        <w:rPr>
          <w:bCs/>
        </w:rPr>
      </w:pPr>
    </w:p>
    <w:p w:rsidR="003555B4" w:rsidRPr="003555B4" w:rsidRDefault="003555B4" w:rsidP="003555B4">
      <w:pPr>
        <w:pStyle w:val="Odsekzoznamu"/>
        <w:spacing w:line="276" w:lineRule="auto"/>
        <w:ind w:left="0"/>
        <w:jc w:val="center"/>
        <w:rPr>
          <w:b/>
        </w:rPr>
      </w:pPr>
      <w:r w:rsidRPr="003555B4">
        <w:rPr>
          <w:b/>
        </w:rPr>
        <w:t>Článok V</w:t>
      </w:r>
      <w:r w:rsidR="00913AF4">
        <w:rPr>
          <w:b/>
        </w:rPr>
        <w:t>I</w:t>
      </w:r>
    </w:p>
    <w:p w:rsidR="003555B4" w:rsidRDefault="009574B6" w:rsidP="00567DD0">
      <w:pPr>
        <w:pStyle w:val="Odsekzoznamu"/>
        <w:spacing w:before="240" w:line="276" w:lineRule="auto"/>
        <w:ind w:left="0"/>
        <w:jc w:val="center"/>
        <w:rPr>
          <w:b/>
        </w:rPr>
      </w:pPr>
      <w:r>
        <w:rPr>
          <w:b/>
        </w:rPr>
        <w:t>Oznamovanie</w:t>
      </w:r>
      <w:r w:rsidR="003555B4" w:rsidRPr="003555B4">
        <w:rPr>
          <w:b/>
        </w:rPr>
        <w:t xml:space="preserve"> konflikt</w:t>
      </w:r>
      <w:r>
        <w:rPr>
          <w:b/>
        </w:rPr>
        <w:t>ov</w:t>
      </w:r>
      <w:r w:rsidR="003555B4" w:rsidRPr="003555B4">
        <w:rPr>
          <w:b/>
        </w:rPr>
        <w:t xml:space="preserve"> záujmov</w:t>
      </w:r>
    </w:p>
    <w:p w:rsidR="00180C48" w:rsidRPr="00343419" w:rsidRDefault="002A19DF" w:rsidP="00180C48">
      <w:pPr>
        <w:pStyle w:val="Odsekzoznamu"/>
        <w:numPr>
          <w:ilvl w:val="0"/>
          <w:numId w:val="33"/>
        </w:numPr>
        <w:spacing w:before="240" w:after="240" w:line="276" w:lineRule="auto"/>
        <w:ind w:left="284" w:hanging="284"/>
        <w:contextualSpacing w:val="0"/>
        <w:jc w:val="both"/>
        <w:rPr>
          <w:b/>
        </w:rPr>
      </w:pPr>
      <w:r>
        <w:t xml:space="preserve"> Akákoľvek osoba, ktorá sa dozvie o skutočnom konflikte záujmov (vrátane trvalého konflikt záujmov) alebo o vzniku potenciálneho konfliktu záujmov zainteresovanej osoby môže tieto CDCP </w:t>
      </w:r>
      <w:r w:rsidR="00913AF4">
        <w:t xml:space="preserve">nahlásiť </w:t>
      </w:r>
      <w:r>
        <w:t xml:space="preserve">prostredníctvom oznámenia. </w:t>
      </w:r>
      <w:r w:rsidR="00180C48" w:rsidRPr="00937F8A">
        <w:t xml:space="preserve"> </w:t>
      </w:r>
      <w:r w:rsidR="00165305">
        <w:t xml:space="preserve">Vzor </w:t>
      </w:r>
      <w:r>
        <w:t xml:space="preserve">odporúčaného </w:t>
      </w:r>
      <w:r w:rsidR="00165305">
        <w:t xml:space="preserve">oznámenia je zverejnený na internetovej stránke </w:t>
      </w:r>
      <w:hyperlink r:id="rId10" w:history="1">
        <w:r w:rsidR="00165305" w:rsidRPr="00165305">
          <w:rPr>
            <w:rStyle w:val="Hypertextovprepojenie"/>
            <w:color w:val="auto"/>
          </w:rPr>
          <w:t>www.cdcp.sk</w:t>
        </w:r>
      </w:hyperlink>
      <w:r w:rsidR="00165305" w:rsidRPr="00165305">
        <w:t xml:space="preserve">. </w:t>
      </w:r>
    </w:p>
    <w:p w:rsidR="00567DD0" w:rsidRPr="00567DD0" w:rsidRDefault="00180C48" w:rsidP="00180C48">
      <w:pPr>
        <w:pStyle w:val="Odsekzoznamu"/>
        <w:numPr>
          <w:ilvl w:val="0"/>
          <w:numId w:val="33"/>
        </w:numPr>
        <w:spacing w:before="240" w:after="240" w:line="276" w:lineRule="auto"/>
        <w:ind w:left="284" w:hanging="284"/>
        <w:contextualSpacing w:val="0"/>
        <w:jc w:val="both"/>
        <w:rPr>
          <w:b/>
        </w:rPr>
      </w:pPr>
      <w:r w:rsidRPr="00937F8A">
        <w:t>Oznámenie</w:t>
      </w:r>
      <w:r w:rsidR="00512266">
        <w:t xml:space="preserve"> v zmysle ods. 1 tohto článku</w:t>
      </w:r>
      <w:r w:rsidRPr="00937F8A">
        <w:t xml:space="preserve"> možno podať</w:t>
      </w:r>
      <w:r w:rsidR="00567DD0">
        <w:t>:</w:t>
      </w:r>
    </w:p>
    <w:p w:rsidR="00567DD0" w:rsidRPr="00567DD0" w:rsidRDefault="00567DD0" w:rsidP="00567DD0">
      <w:pPr>
        <w:pStyle w:val="Odsekzoznamu"/>
        <w:numPr>
          <w:ilvl w:val="0"/>
          <w:numId w:val="39"/>
        </w:numPr>
        <w:spacing w:before="240" w:after="240" w:line="276" w:lineRule="auto"/>
        <w:contextualSpacing w:val="0"/>
        <w:jc w:val="both"/>
        <w:rPr>
          <w:b/>
        </w:rPr>
      </w:pPr>
      <w:r>
        <w:t xml:space="preserve">písomne na adresu sídla CDCP – </w:t>
      </w:r>
      <w:r w:rsidR="00512266">
        <w:t xml:space="preserve">Centrálny depozitár cenných papierov SR, a.s., </w:t>
      </w:r>
      <w:r>
        <w:t>ul. 29 augusta 1/A,  814 80 Bratislava</w:t>
      </w:r>
      <w:r w:rsidR="00FD28DB">
        <w:t>,</w:t>
      </w:r>
    </w:p>
    <w:p w:rsidR="00567DD0" w:rsidRPr="00567DD0" w:rsidRDefault="00180C48" w:rsidP="00567DD0">
      <w:pPr>
        <w:pStyle w:val="Odsekzoznamu"/>
        <w:numPr>
          <w:ilvl w:val="0"/>
          <w:numId w:val="39"/>
        </w:numPr>
        <w:spacing w:before="240" w:after="240" w:line="276" w:lineRule="auto"/>
        <w:contextualSpacing w:val="0"/>
        <w:jc w:val="both"/>
        <w:rPr>
          <w:b/>
        </w:rPr>
      </w:pPr>
      <w:r w:rsidRPr="00937F8A">
        <w:t>ústne do záznamu</w:t>
      </w:r>
      <w:r w:rsidR="00165305">
        <w:t xml:space="preserve"> v sídle CDCP</w:t>
      </w:r>
      <w:r w:rsidR="00567DD0">
        <w:t>, ku ktorému musí byť vyhotovený písomný záznam podpísaný obidvoma stranami,</w:t>
      </w:r>
      <w:r w:rsidRPr="00937F8A">
        <w:t xml:space="preserve"> alebo</w:t>
      </w:r>
    </w:p>
    <w:p w:rsidR="00567DD0" w:rsidRPr="00567DD0" w:rsidRDefault="00180C48" w:rsidP="00567DD0">
      <w:pPr>
        <w:pStyle w:val="Odsekzoznamu"/>
        <w:numPr>
          <w:ilvl w:val="0"/>
          <w:numId w:val="39"/>
        </w:numPr>
        <w:spacing w:before="240" w:after="240" w:line="276" w:lineRule="auto"/>
        <w:contextualSpacing w:val="0"/>
        <w:jc w:val="both"/>
        <w:rPr>
          <w:b/>
        </w:rPr>
      </w:pPr>
      <w:r w:rsidRPr="00937F8A">
        <w:t>elektronickou poštou na e mailovú adresu na to určenú a zverejnenú na in</w:t>
      </w:r>
      <w:r>
        <w:t xml:space="preserve">ternetovej stránke </w:t>
      </w:r>
      <w:hyperlink r:id="rId11" w:history="1">
        <w:r w:rsidR="00567DD0" w:rsidRPr="00165305">
          <w:rPr>
            <w:rStyle w:val="Hypertextovprepojenie"/>
            <w:color w:val="auto"/>
          </w:rPr>
          <w:t>www.cdcp.sk</w:t>
        </w:r>
      </w:hyperlink>
      <w:r w:rsidRPr="00165305">
        <w:t>.</w:t>
      </w:r>
    </w:p>
    <w:p w:rsidR="00180C48" w:rsidRPr="00567DD0" w:rsidRDefault="00AB62D1" w:rsidP="00567DD0">
      <w:pPr>
        <w:pStyle w:val="Odsekzoznamu"/>
        <w:numPr>
          <w:ilvl w:val="0"/>
          <w:numId w:val="33"/>
        </w:numPr>
        <w:spacing w:before="240" w:after="240" w:line="276" w:lineRule="auto"/>
        <w:ind w:left="284" w:hanging="284"/>
        <w:jc w:val="both"/>
        <w:rPr>
          <w:b/>
        </w:rPr>
      </w:pPr>
      <w:r>
        <w:t>V prípade ak si oznamovateľ želá zachovať anonymitu, môže označiť obálku textom</w:t>
      </w:r>
      <w:r w:rsidR="00180C48" w:rsidRPr="00937F8A">
        <w:t xml:space="preserve">: </w:t>
      </w:r>
      <w:r w:rsidR="00180C48">
        <w:t>„</w:t>
      </w:r>
      <w:r w:rsidR="00180C48" w:rsidRPr="00937F8A">
        <w:t xml:space="preserve">Neotvárať </w:t>
      </w:r>
      <w:r w:rsidR="00502335">
        <w:t>– oznámenie konfliktu záujmov“. CDCP</w:t>
      </w:r>
      <w:r w:rsidR="00502335" w:rsidRPr="00937F8A">
        <w:t xml:space="preserve"> dodržiava na požiadanie osoby, ktorá oznámenie podala, mlčanlivosť o jej totožnosti,</w:t>
      </w:r>
      <w:r w:rsidR="00132699">
        <w:t xml:space="preserve"> pokiaľ je totožnosť známa,</w:t>
      </w:r>
      <w:r w:rsidR="00502335" w:rsidRPr="00937F8A">
        <w:t xml:space="preserve"> ak to nebráni riadnemu prevereniu podaného oznámenia.</w:t>
      </w:r>
    </w:p>
    <w:p w:rsidR="00567DD0" w:rsidRPr="00567DD0" w:rsidRDefault="00567DD0" w:rsidP="00567DD0">
      <w:pPr>
        <w:pStyle w:val="Odsekzoznamu"/>
        <w:spacing w:before="240" w:after="240" w:line="276" w:lineRule="auto"/>
        <w:ind w:left="284"/>
        <w:jc w:val="both"/>
        <w:rPr>
          <w:b/>
        </w:rPr>
      </w:pPr>
    </w:p>
    <w:p w:rsidR="009574B6" w:rsidRPr="00E6575F" w:rsidRDefault="00AB62D1" w:rsidP="00E6575F">
      <w:pPr>
        <w:pStyle w:val="Odsekzoznamu"/>
        <w:numPr>
          <w:ilvl w:val="0"/>
          <w:numId w:val="33"/>
        </w:numPr>
        <w:spacing w:before="240" w:after="240" w:line="276" w:lineRule="auto"/>
        <w:ind w:left="284" w:hanging="284"/>
        <w:contextualSpacing w:val="0"/>
        <w:jc w:val="both"/>
        <w:rPr>
          <w:b/>
        </w:rPr>
      </w:pPr>
      <w:r>
        <w:t>CDCP je povinný</w:t>
      </w:r>
      <w:r w:rsidR="00180C48" w:rsidRPr="00937F8A">
        <w:t xml:space="preserve"> každé oznámenie v primeranej lehote preveriť</w:t>
      </w:r>
      <w:r w:rsidR="00661830">
        <w:t>, vrátane anonymného oznámenia</w:t>
      </w:r>
      <w:r w:rsidR="00180C48" w:rsidRPr="00937F8A">
        <w:t xml:space="preserve">. </w:t>
      </w:r>
    </w:p>
    <w:p w:rsidR="009574B6" w:rsidRDefault="009574B6" w:rsidP="00FD28DB">
      <w:pPr>
        <w:pStyle w:val="Odsekzoznamu"/>
        <w:numPr>
          <w:ilvl w:val="0"/>
          <w:numId w:val="33"/>
        </w:numPr>
        <w:spacing w:before="240" w:line="276" w:lineRule="auto"/>
        <w:ind w:left="284" w:hanging="284"/>
        <w:jc w:val="both"/>
      </w:pPr>
      <w:r>
        <w:lastRenderedPageBreak/>
        <w:t>V prípade zistenia konfliktu záujmov je</w:t>
      </w:r>
      <w:r w:rsidR="00882413">
        <w:t xml:space="preserve"> </w:t>
      </w:r>
      <w:r w:rsidR="00684C08">
        <w:t>oznamovateľ</w:t>
      </w:r>
      <w:r w:rsidR="00882413">
        <w:t xml:space="preserve"> a </w:t>
      </w:r>
      <w:r>
        <w:t>osoba</w:t>
      </w:r>
      <w:r w:rsidR="00882413">
        <w:t xml:space="preserve">, ktorej sa oznámenie týkalo </w:t>
      </w:r>
      <w:r>
        <w:t>informovan</w:t>
      </w:r>
      <w:r w:rsidR="00882413">
        <w:t>á</w:t>
      </w:r>
      <w:r>
        <w:t xml:space="preserve"> </w:t>
      </w:r>
      <w:r w:rsidR="00132699">
        <w:t xml:space="preserve">zo strany CDCP </w:t>
      </w:r>
      <w:r>
        <w:t>o</w:t>
      </w:r>
      <w:r w:rsidR="00132699">
        <w:t xml:space="preserve"> výsledku riešenia. </w:t>
      </w:r>
      <w:r>
        <w:t xml:space="preserve">  </w:t>
      </w:r>
    </w:p>
    <w:p w:rsidR="001E6221" w:rsidRDefault="001E6221" w:rsidP="00920056">
      <w:pPr>
        <w:pStyle w:val="Odsekzoznamu"/>
      </w:pPr>
    </w:p>
    <w:p w:rsidR="001E6221" w:rsidRDefault="001E6221" w:rsidP="00FD28DB">
      <w:pPr>
        <w:pStyle w:val="Odsekzoznamu"/>
        <w:numPr>
          <w:ilvl w:val="0"/>
          <w:numId w:val="33"/>
        </w:numPr>
        <w:spacing w:before="240" w:line="276" w:lineRule="auto"/>
        <w:ind w:left="284" w:hanging="284"/>
        <w:jc w:val="both"/>
      </w:pPr>
      <w:r>
        <w:t>Oznámeni</w:t>
      </w:r>
      <w:r w:rsidR="00363D77">
        <w:t>e</w:t>
      </w:r>
      <w:r>
        <w:t xml:space="preserve"> o konflikte záujmov vybavuje príslušný organizačný útvar CDCP, do ktor</w:t>
      </w:r>
      <w:r w:rsidR="00661830">
        <w:t>ého</w:t>
      </w:r>
      <w:r w:rsidR="00684C08">
        <w:t xml:space="preserve"> pôsobnosti</w:t>
      </w:r>
      <w:r>
        <w:t xml:space="preserve"> riadenie konfliktu záujmov patrí. </w:t>
      </w:r>
    </w:p>
    <w:p w:rsidR="00FF0137" w:rsidRPr="00C912D3" w:rsidRDefault="00FF0137" w:rsidP="005618EA">
      <w:pPr>
        <w:spacing w:after="240" w:line="276" w:lineRule="auto"/>
        <w:jc w:val="both"/>
      </w:pPr>
    </w:p>
    <w:p w:rsidR="008507E0" w:rsidRPr="00937F8A" w:rsidRDefault="00DE3408" w:rsidP="008507E0">
      <w:pPr>
        <w:pStyle w:val="Odsekzoznamu"/>
        <w:spacing w:line="276" w:lineRule="auto"/>
        <w:ind w:left="0"/>
        <w:jc w:val="center"/>
        <w:rPr>
          <w:b/>
        </w:rPr>
      </w:pPr>
      <w:r>
        <w:rPr>
          <w:b/>
          <w:bCs/>
        </w:rPr>
        <w:t xml:space="preserve"> </w:t>
      </w:r>
      <w:r w:rsidR="009759BC">
        <w:rPr>
          <w:b/>
        </w:rPr>
        <w:t>Článok VI</w:t>
      </w:r>
      <w:r w:rsidR="00913AF4">
        <w:rPr>
          <w:b/>
        </w:rPr>
        <w:t>I</w:t>
      </w:r>
    </w:p>
    <w:p w:rsidR="008507E0" w:rsidRDefault="008507E0" w:rsidP="008507E0">
      <w:pPr>
        <w:pStyle w:val="Odsekzoznamu"/>
        <w:spacing w:line="276" w:lineRule="auto"/>
        <w:ind w:left="0"/>
        <w:jc w:val="center"/>
        <w:rPr>
          <w:b/>
        </w:rPr>
      </w:pPr>
      <w:r>
        <w:rPr>
          <w:b/>
        </w:rPr>
        <w:t>Záverečn</w:t>
      </w:r>
      <w:r w:rsidR="00567DD0">
        <w:rPr>
          <w:b/>
        </w:rPr>
        <w:t>é</w:t>
      </w:r>
      <w:r>
        <w:rPr>
          <w:b/>
        </w:rPr>
        <w:t xml:space="preserve"> ustanovenia</w:t>
      </w:r>
    </w:p>
    <w:p w:rsidR="008507E0" w:rsidRDefault="008507E0" w:rsidP="008507E0">
      <w:pPr>
        <w:pStyle w:val="Odsekzoznamu"/>
        <w:spacing w:line="276" w:lineRule="auto"/>
        <w:ind w:left="0"/>
        <w:jc w:val="center"/>
        <w:rPr>
          <w:b/>
        </w:rPr>
      </w:pPr>
    </w:p>
    <w:p w:rsidR="008514EC" w:rsidRDefault="008507E0" w:rsidP="00FD28DB">
      <w:pPr>
        <w:pStyle w:val="Odsekzoznamu"/>
        <w:numPr>
          <w:ilvl w:val="0"/>
          <w:numId w:val="36"/>
        </w:numPr>
        <w:spacing w:line="276" w:lineRule="auto"/>
        <w:jc w:val="both"/>
      </w:pPr>
      <w:r w:rsidRPr="008507E0">
        <w:t>Táto politika tvorí</w:t>
      </w:r>
      <w:r w:rsidR="00FD28DB">
        <w:t xml:space="preserve"> neoddeliteľnú súčasť</w:t>
      </w:r>
      <w:r w:rsidRPr="008507E0">
        <w:t xml:space="preserve"> </w:t>
      </w:r>
      <w:r w:rsidR="00913AF4">
        <w:t xml:space="preserve">predpisov CDCP </w:t>
      </w:r>
      <w:r w:rsidRPr="008507E0">
        <w:t>o riadení konfliktu záujmov</w:t>
      </w:r>
      <w:r w:rsidR="00FD28DB">
        <w:t xml:space="preserve"> a </w:t>
      </w:r>
      <w:r w:rsidR="008514EC" w:rsidRPr="00FD28DB">
        <w:t xml:space="preserve"> nadobúda platnosť dňom schválenia Predstavenstvom CDCP </w:t>
      </w:r>
      <w:r w:rsidR="009F5C26">
        <w:t xml:space="preserve">dňa </w:t>
      </w:r>
      <w:r w:rsidR="00E229B6">
        <w:t>24.0</w:t>
      </w:r>
      <w:r w:rsidR="00A80692">
        <w:t>8</w:t>
      </w:r>
      <w:bookmarkStart w:id="2" w:name="_GoBack"/>
      <w:bookmarkEnd w:id="2"/>
      <w:r w:rsidR="00E229B6">
        <w:t>.2022</w:t>
      </w:r>
      <w:r w:rsidR="00DE044A">
        <w:t xml:space="preserve"> </w:t>
      </w:r>
      <w:r w:rsidR="008514EC" w:rsidRPr="00FD28DB">
        <w:t xml:space="preserve">a účinnosť dňom </w:t>
      </w:r>
      <w:r w:rsidR="0060138F">
        <w:t xml:space="preserve"> </w:t>
      </w:r>
      <w:r w:rsidR="00E229B6">
        <w:t>01.09.2022</w:t>
      </w:r>
    </w:p>
    <w:p w:rsidR="009A3109" w:rsidRDefault="009A3109" w:rsidP="00920056">
      <w:pPr>
        <w:pStyle w:val="Odsekzoznamu"/>
        <w:spacing w:line="276" w:lineRule="auto"/>
        <w:ind w:left="360"/>
        <w:jc w:val="both"/>
      </w:pPr>
    </w:p>
    <w:p w:rsidR="002164BB" w:rsidRPr="00920056" w:rsidRDefault="00B9159A" w:rsidP="00920056">
      <w:pPr>
        <w:pStyle w:val="Odsekzoznamu"/>
        <w:numPr>
          <w:ilvl w:val="0"/>
          <w:numId w:val="36"/>
        </w:numPr>
        <w:spacing w:line="276" w:lineRule="auto"/>
        <w:jc w:val="both"/>
      </w:pPr>
      <w:r>
        <w:t xml:space="preserve">Politika o riadení konfliktu záujmov je verejne dostupná v sídle CDCP a na webovej stránke </w:t>
      </w:r>
      <w:hyperlink r:id="rId12" w:history="1">
        <w:r w:rsidRPr="00A56EF8">
          <w:rPr>
            <w:rStyle w:val="Hypertextovprepojenie"/>
          </w:rPr>
          <w:t>www.cdcp.sk</w:t>
        </w:r>
      </w:hyperlink>
      <w:r>
        <w:t xml:space="preserve">.  </w:t>
      </w:r>
    </w:p>
    <w:sectPr w:rsidR="002164BB" w:rsidRPr="00920056" w:rsidSect="006A0AC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6C3" w:rsidRDefault="001B06C3" w:rsidP="00B26B92">
      <w:r>
        <w:separator/>
      </w:r>
    </w:p>
  </w:endnote>
  <w:endnote w:type="continuationSeparator" w:id="0">
    <w:p w:rsidR="001B06C3" w:rsidRDefault="001B06C3" w:rsidP="00B2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086369"/>
      <w:docPartObj>
        <w:docPartGallery w:val="Page Numbers (Bottom of Page)"/>
        <w:docPartUnique/>
      </w:docPartObj>
    </w:sdtPr>
    <w:sdtEndPr/>
    <w:sdtContent>
      <w:p w:rsidR="00EF5C6B" w:rsidRPr="0096258C" w:rsidRDefault="00EF5C6B" w:rsidP="00EF5C6B">
        <w:pPr>
          <w:pStyle w:val="Pta"/>
          <w:jc w:val="center"/>
        </w:pPr>
        <w:r w:rsidRPr="00EF5C6B">
          <w:rPr>
            <w:b/>
          </w:rPr>
          <w:fldChar w:fldCharType="begin"/>
        </w:r>
        <w:r w:rsidRPr="00EF5C6B">
          <w:rPr>
            <w:b/>
          </w:rPr>
          <w:instrText>PAGE   \* MERGEFORMAT</w:instrText>
        </w:r>
        <w:r w:rsidRPr="00EF5C6B">
          <w:rPr>
            <w:b/>
          </w:rPr>
          <w:fldChar w:fldCharType="separate"/>
        </w:r>
        <w:r w:rsidR="0051001A">
          <w:rPr>
            <w:b/>
            <w:noProof/>
          </w:rPr>
          <w:t>9</w:t>
        </w:r>
        <w:r w:rsidRPr="00EF5C6B">
          <w:rPr>
            <w:b/>
          </w:rPr>
          <w:fldChar w:fldCharType="end"/>
        </w:r>
        <w:r w:rsidRPr="00EF5C6B">
          <w:rPr>
            <w:b/>
          </w:rPr>
          <w:t xml:space="preserve"> </w:t>
        </w:r>
        <w:r w:rsidRPr="0096258C">
          <w:t xml:space="preserve">z </w:t>
        </w:r>
        <w:r w:rsidR="006677E2">
          <w:rPr>
            <w:b/>
          </w:rPr>
          <w:t>9</w:t>
        </w:r>
      </w:p>
    </w:sdtContent>
  </w:sdt>
  <w:p w:rsidR="00EF5C6B" w:rsidRDefault="00576269" w:rsidP="00EF5C6B">
    <w:pPr>
      <w:pStyle w:val="Pt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C264A0B" wp14:editId="33F33D7F">
          <wp:simplePos x="0" y="0"/>
          <wp:positionH relativeFrom="column">
            <wp:posOffset>5894705</wp:posOffset>
          </wp:positionH>
          <wp:positionV relativeFrom="paragraph">
            <wp:posOffset>62230</wp:posOffset>
          </wp:positionV>
          <wp:extent cx="384175" cy="380365"/>
          <wp:effectExtent l="0" t="0" r="0" b="635"/>
          <wp:wrapThrough wrapText="bothSides">
            <wp:wrapPolygon edited="0">
              <wp:start x="0" y="0"/>
              <wp:lineTo x="0" y="20554"/>
              <wp:lineTo x="20350" y="20554"/>
              <wp:lineTo x="20350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C6B">
      <w:t>CDCP - verejné</w:t>
    </w:r>
  </w:p>
  <w:p w:rsidR="001A6515" w:rsidRPr="00EF5C6B" w:rsidRDefault="001A6515" w:rsidP="00EF5C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70923"/>
      <w:docPartObj>
        <w:docPartGallery w:val="Page Numbers (Bottom of Page)"/>
        <w:docPartUnique/>
      </w:docPartObj>
    </w:sdtPr>
    <w:sdtEndPr/>
    <w:sdtContent>
      <w:p w:rsidR="00EF5C6B" w:rsidRPr="0096258C" w:rsidRDefault="00EF5C6B" w:rsidP="00EF5C6B">
        <w:pPr>
          <w:pStyle w:val="Pta"/>
          <w:jc w:val="center"/>
        </w:pPr>
        <w:r w:rsidRPr="00EF5C6B">
          <w:rPr>
            <w:b/>
          </w:rPr>
          <w:fldChar w:fldCharType="begin"/>
        </w:r>
        <w:r w:rsidRPr="00EF5C6B">
          <w:rPr>
            <w:b/>
          </w:rPr>
          <w:instrText>PAGE   \* MERGEFORMAT</w:instrText>
        </w:r>
        <w:r w:rsidRPr="00EF5C6B">
          <w:rPr>
            <w:b/>
          </w:rPr>
          <w:fldChar w:fldCharType="separate"/>
        </w:r>
        <w:r w:rsidR="0051001A">
          <w:rPr>
            <w:b/>
            <w:noProof/>
          </w:rPr>
          <w:t>1</w:t>
        </w:r>
        <w:r w:rsidRPr="00EF5C6B">
          <w:rPr>
            <w:b/>
          </w:rPr>
          <w:fldChar w:fldCharType="end"/>
        </w:r>
        <w:r w:rsidRPr="0096258C">
          <w:t xml:space="preserve"> z</w:t>
        </w:r>
        <w:r w:rsidRPr="00EF5C6B">
          <w:rPr>
            <w:b/>
          </w:rPr>
          <w:t xml:space="preserve"> 9</w:t>
        </w:r>
      </w:p>
    </w:sdtContent>
  </w:sdt>
  <w:p w:rsidR="00EF5C6B" w:rsidRDefault="00EF5C6B" w:rsidP="00EF5C6B">
    <w:pPr>
      <w:pStyle w:val="Pta"/>
    </w:pPr>
    <w:r>
      <w:t>CDCP - verejné</w:t>
    </w:r>
  </w:p>
  <w:p w:rsidR="00EF5C6B" w:rsidRDefault="00EF5C6B" w:rsidP="00EF5C6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6C3" w:rsidRDefault="001B06C3" w:rsidP="00B26B92">
      <w:r>
        <w:separator/>
      </w:r>
    </w:p>
  </w:footnote>
  <w:footnote w:type="continuationSeparator" w:id="0">
    <w:p w:rsidR="001B06C3" w:rsidRDefault="001B06C3" w:rsidP="00B2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15" w:rsidRDefault="006D499C" w:rsidP="00D40AF8">
    <w:pPr>
      <w:pStyle w:val="Hlavika"/>
      <w:jc w:val="right"/>
    </w:pPr>
    <w:r>
      <w:t xml:space="preserve">Politika riadenia konfliktu záujmov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99C" w:rsidRDefault="006D499C" w:rsidP="006D499C">
    <w:pPr>
      <w:pStyle w:val="Hlavika"/>
      <w:jc w:val="right"/>
    </w:pPr>
    <w:r>
      <w:t>Príloha č. 1</w:t>
    </w:r>
    <w:r w:rsidR="00EF5C6B">
      <w:t xml:space="preserve"> Internej smernice o riadení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60B"/>
    <w:multiLevelType w:val="hybridMultilevel"/>
    <w:tmpl w:val="BE5A264E"/>
    <w:lvl w:ilvl="0" w:tplc="37A4F710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7E42"/>
    <w:multiLevelType w:val="hybridMultilevel"/>
    <w:tmpl w:val="87D460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00D1"/>
    <w:multiLevelType w:val="hybridMultilevel"/>
    <w:tmpl w:val="B63813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4127"/>
    <w:multiLevelType w:val="hybridMultilevel"/>
    <w:tmpl w:val="8688820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41013"/>
    <w:multiLevelType w:val="hybridMultilevel"/>
    <w:tmpl w:val="B63813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61398"/>
    <w:multiLevelType w:val="hybridMultilevel"/>
    <w:tmpl w:val="C144FE3A"/>
    <w:lvl w:ilvl="0" w:tplc="E8B29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393"/>
    <w:multiLevelType w:val="hybridMultilevel"/>
    <w:tmpl w:val="2A406124"/>
    <w:lvl w:ilvl="0" w:tplc="E8B29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4D9C"/>
    <w:multiLevelType w:val="hybridMultilevel"/>
    <w:tmpl w:val="3C9CAA36"/>
    <w:lvl w:ilvl="0" w:tplc="E8B29F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24173"/>
    <w:multiLevelType w:val="hybridMultilevel"/>
    <w:tmpl w:val="27E262FA"/>
    <w:lvl w:ilvl="0" w:tplc="37A4F71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73CA"/>
    <w:multiLevelType w:val="hybridMultilevel"/>
    <w:tmpl w:val="314C9D46"/>
    <w:lvl w:ilvl="0" w:tplc="33B4D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6E8"/>
    <w:multiLevelType w:val="hybridMultilevel"/>
    <w:tmpl w:val="3AC4FD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8914BF"/>
    <w:multiLevelType w:val="hybridMultilevel"/>
    <w:tmpl w:val="0A944F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265F"/>
    <w:multiLevelType w:val="hybridMultilevel"/>
    <w:tmpl w:val="A5BE07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2728"/>
    <w:multiLevelType w:val="hybridMultilevel"/>
    <w:tmpl w:val="C386A702"/>
    <w:lvl w:ilvl="0" w:tplc="95264A9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4A58"/>
    <w:multiLevelType w:val="hybridMultilevel"/>
    <w:tmpl w:val="2A406124"/>
    <w:lvl w:ilvl="0" w:tplc="E8B29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775A0"/>
    <w:multiLevelType w:val="hybridMultilevel"/>
    <w:tmpl w:val="9BD0072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F53CA1"/>
    <w:multiLevelType w:val="hybridMultilevel"/>
    <w:tmpl w:val="5E788C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56004"/>
    <w:multiLevelType w:val="hybridMultilevel"/>
    <w:tmpl w:val="8482DF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3D7131"/>
    <w:multiLevelType w:val="hybridMultilevel"/>
    <w:tmpl w:val="D160CF5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9351B6"/>
    <w:multiLevelType w:val="hybridMultilevel"/>
    <w:tmpl w:val="B5925184"/>
    <w:lvl w:ilvl="0" w:tplc="E8B29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65576"/>
    <w:multiLevelType w:val="hybridMultilevel"/>
    <w:tmpl w:val="85E29DF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0564FC"/>
    <w:multiLevelType w:val="hybridMultilevel"/>
    <w:tmpl w:val="234471EC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9075D"/>
    <w:multiLevelType w:val="hybridMultilevel"/>
    <w:tmpl w:val="314C9D46"/>
    <w:lvl w:ilvl="0" w:tplc="33B4D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A5810"/>
    <w:multiLevelType w:val="hybridMultilevel"/>
    <w:tmpl w:val="4BDA53D4"/>
    <w:lvl w:ilvl="0" w:tplc="E8B29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21F26"/>
    <w:multiLevelType w:val="hybridMultilevel"/>
    <w:tmpl w:val="234471EC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4275891"/>
    <w:multiLevelType w:val="hybridMultilevel"/>
    <w:tmpl w:val="60BEE1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E3F7D"/>
    <w:multiLevelType w:val="hybridMultilevel"/>
    <w:tmpl w:val="B5925184"/>
    <w:lvl w:ilvl="0" w:tplc="E8B29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32043"/>
    <w:multiLevelType w:val="hybridMultilevel"/>
    <w:tmpl w:val="8F22A8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984B1A"/>
    <w:multiLevelType w:val="hybridMultilevel"/>
    <w:tmpl w:val="3C9CAA36"/>
    <w:lvl w:ilvl="0" w:tplc="E8B29F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3597D"/>
    <w:multiLevelType w:val="hybridMultilevel"/>
    <w:tmpl w:val="CB88B8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E5965"/>
    <w:multiLevelType w:val="hybridMultilevel"/>
    <w:tmpl w:val="B63813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F36D3"/>
    <w:multiLevelType w:val="hybridMultilevel"/>
    <w:tmpl w:val="6D34F89A"/>
    <w:lvl w:ilvl="0" w:tplc="F4D4E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D61C2"/>
    <w:multiLevelType w:val="hybridMultilevel"/>
    <w:tmpl w:val="4CD866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4469F"/>
    <w:multiLevelType w:val="hybridMultilevel"/>
    <w:tmpl w:val="E0A0E0BE"/>
    <w:lvl w:ilvl="0" w:tplc="2B048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9353C"/>
    <w:multiLevelType w:val="hybridMultilevel"/>
    <w:tmpl w:val="B63813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60BD3"/>
    <w:multiLevelType w:val="hybridMultilevel"/>
    <w:tmpl w:val="9DE4B086"/>
    <w:lvl w:ilvl="0" w:tplc="041B0017">
      <w:start w:val="1"/>
      <w:numFmt w:val="lowerLetter"/>
      <w:lvlText w:val="%1)"/>
      <w:lvlJc w:val="left"/>
      <w:pPr>
        <w:ind w:left="122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DA414AB"/>
    <w:multiLevelType w:val="hybridMultilevel"/>
    <w:tmpl w:val="0154567E"/>
    <w:lvl w:ilvl="0" w:tplc="041B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F4C24"/>
    <w:multiLevelType w:val="hybridMultilevel"/>
    <w:tmpl w:val="68AAC8D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FA5C81"/>
    <w:multiLevelType w:val="hybridMultilevel"/>
    <w:tmpl w:val="2F5EA4F6"/>
    <w:lvl w:ilvl="0" w:tplc="E8B29F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720EA"/>
    <w:multiLevelType w:val="hybridMultilevel"/>
    <w:tmpl w:val="F2B6D490"/>
    <w:lvl w:ilvl="0" w:tplc="041B0017">
      <w:start w:val="1"/>
      <w:numFmt w:val="lowerLetter"/>
      <w:lvlText w:val="%1)"/>
      <w:lvlJc w:val="left"/>
      <w:pPr>
        <w:ind w:left="1064" w:hanging="360"/>
      </w:p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 w15:restartNumberingAfterBreak="0">
    <w:nsid w:val="6D5B7A1E"/>
    <w:multiLevelType w:val="hybridMultilevel"/>
    <w:tmpl w:val="589A797A"/>
    <w:lvl w:ilvl="0" w:tplc="228816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25852"/>
    <w:multiLevelType w:val="hybridMultilevel"/>
    <w:tmpl w:val="0F6A9642"/>
    <w:lvl w:ilvl="0" w:tplc="E8B29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9C5BDD"/>
    <w:multiLevelType w:val="hybridMultilevel"/>
    <w:tmpl w:val="234471EC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525586A"/>
    <w:multiLevelType w:val="hybridMultilevel"/>
    <w:tmpl w:val="5F04A578"/>
    <w:lvl w:ilvl="0" w:tplc="7C809EF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E77E55"/>
    <w:multiLevelType w:val="hybridMultilevel"/>
    <w:tmpl w:val="D3062CEE"/>
    <w:lvl w:ilvl="0" w:tplc="37A4F71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E76A8"/>
    <w:multiLevelType w:val="hybridMultilevel"/>
    <w:tmpl w:val="60BEE1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A38B5"/>
    <w:multiLevelType w:val="hybridMultilevel"/>
    <w:tmpl w:val="9AF63B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10739"/>
    <w:multiLevelType w:val="hybridMultilevel"/>
    <w:tmpl w:val="2026D512"/>
    <w:lvl w:ilvl="0" w:tplc="93BE5C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DD649CA"/>
    <w:multiLevelType w:val="hybridMultilevel"/>
    <w:tmpl w:val="B082D8A4"/>
    <w:lvl w:ilvl="0" w:tplc="E8B29F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23FAE"/>
    <w:multiLevelType w:val="hybridMultilevel"/>
    <w:tmpl w:val="3CB66B96"/>
    <w:lvl w:ilvl="0" w:tplc="AE9E6014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7"/>
  </w:num>
  <w:num w:numId="4">
    <w:abstractNumId w:val="44"/>
  </w:num>
  <w:num w:numId="5">
    <w:abstractNumId w:val="37"/>
  </w:num>
  <w:num w:numId="6">
    <w:abstractNumId w:val="33"/>
  </w:num>
  <w:num w:numId="7">
    <w:abstractNumId w:val="3"/>
  </w:num>
  <w:num w:numId="8">
    <w:abstractNumId w:val="9"/>
  </w:num>
  <w:num w:numId="9">
    <w:abstractNumId w:val="30"/>
  </w:num>
  <w:num w:numId="10">
    <w:abstractNumId w:val="21"/>
  </w:num>
  <w:num w:numId="11">
    <w:abstractNumId w:val="41"/>
  </w:num>
  <w:num w:numId="12">
    <w:abstractNumId w:val="28"/>
  </w:num>
  <w:num w:numId="13">
    <w:abstractNumId w:val="5"/>
  </w:num>
  <w:num w:numId="14">
    <w:abstractNumId w:val="43"/>
  </w:num>
  <w:num w:numId="15">
    <w:abstractNumId w:val="20"/>
  </w:num>
  <w:num w:numId="16">
    <w:abstractNumId w:val="46"/>
  </w:num>
  <w:num w:numId="17">
    <w:abstractNumId w:val="15"/>
  </w:num>
  <w:num w:numId="18">
    <w:abstractNumId w:val="26"/>
  </w:num>
  <w:num w:numId="19">
    <w:abstractNumId w:val="36"/>
  </w:num>
  <w:num w:numId="20">
    <w:abstractNumId w:val="16"/>
  </w:num>
  <w:num w:numId="21">
    <w:abstractNumId w:val="42"/>
  </w:num>
  <w:num w:numId="22">
    <w:abstractNumId w:val="45"/>
  </w:num>
  <w:num w:numId="23">
    <w:abstractNumId w:val="2"/>
  </w:num>
  <w:num w:numId="24">
    <w:abstractNumId w:val="4"/>
  </w:num>
  <w:num w:numId="25">
    <w:abstractNumId w:val="32"/>
  </w:num>
  <w:num w:numId="26">
    <w:abstractNumId w:val="12"/>
  </w:num>
  <w:num w:numId="27">
    <w:abstractNumId w:val="48"/>
  </w:num>
  <w:num w:numId="28">
    <w:abstractNumId w:val="35"/>
  </w:num>
  <w:num w:numId="29">
    <w:abstractNumId w:val="7"/>
  </w:num>
  <w:num w:numId="30">
    <w:abstractNumId w:val="18"/>
  </w:num>
  <w:num w:numId="31">
    <w:abstractNumId w:val="22"/>
  </w:num>
  <w:num w:numId="32">
    <w:abstractNumId w:val="8"/>
  </w:num>
  <w:num w:numId="33">
    <w:abstractNumId w:val="31"/>
  </w:num>
  <w:num w:numId="34">
    <w:abstractNumId w:val="14"/>
  </w:num>
  <w:num w:numId="35">
    <w:abstractNumId w:val="23"/>
  </w:num>
  <w:num w:numId="36">
    <w:abstractNumId w:val="6"/>
  </w:num>
  <w:num w:numId="37">
    <w:abstractNumId w:val="24"/>
  </w:num>
  <w:num w:numId="38">
    <w:abstractNumId w:val="1"/>
  </w:num>
  <w:num w:numId="39">
    <w:abstractNumId w:val="39"/>
  </w:num>
  <w:num w:numId="40">
    <w:abstractNumId w:val="11"/>
  </w:num>
  <w:num w:numId="41">
    <w:abstractNumId w:val="19"/>
  </w:num>
  <w:num w:numId="42">
    <w:abstractNumId w:val="38"/>
  </w:num>
  <w:num w:numId="43">
    <w:abstractNumId w:val="49"/>
  </w:num>
  <w:num w:numId="44">
    <w:abstractNumId w:val="17"/>
  </w:num>
  <w:num w:numId="45">
    <w:abstractNumId w:val="10"/>
  </w:num>
  <w:num w:numId="46">
    <w:abstractNumId w:val="0"/>
  </w:num>
  <w:num w:numId="47">
    <w:abstractNumId w:val="40"/>
  </w:num>
  <w:num w:numId="48">
    <w:abstractNumId w:val="13"/>
  </w:num>
  <w:num w:numId="49">
    <w:abstractNumId w:val="29"/>
  </w:num>
  <w:num w:numId="50">
    <w:abstractNumId w:val="4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F4"/>
    <w:rsid w:val="00001B1E"/>
    <w:rsid w:val="00004B0C"/>
    <w:rsid w:val="000054F0"/>
    <w:rsid w:val="0001105B"/>
    <w:rsid w:val="00011D9A"/>
    <w:rsid w:val="000128F3"/>
    <w:rsid w:val="0002148D"/>
    <w:rsid w:val="000227B2"/>
    <w:rsid w:val="00022868"/>
    <w:rsid w:val="00025CE0"/>
    <w:rsid w:val="000277DC"/>
    <w:rsid w:val="000279E8"/>
    <w:rsid w:val="00030E83"/>
    <w:rsid w:val="00031BE3"/>
    <w:rsid w:val="0003296C"/>
    <w:rsid w:val="00042282"/>
    <w:rsid w:val="00044AB4"/>
    <w:rsid w:val="00050A80"/>
    <w:rsid w:val="0005120A"/>
    <w:rsid w:val="0005379F"/>
    <w:rsid w:val="000617F9"/>
    <w:rsid w:val="00067257"/>
    <w:rsid w:val="0007676B"/>
    <w:rsid w:val="000768E7"/>
    <w:rsid w:val="00081094"/>
    <w:rsid w:val="0008136E"/>
    <w:rsid w:val="00084906"/>
    <w:rsid w:val="00084A27"/>
    <w:rsid w:val="00091AEC"/>
    <w:rsid w:val="00094432"/>
    <w:rsid w:val="000A0467"/>
    <w:rsid w:val="000A3227"/>
    <w:rsid w:val="000B03CA"/>
    <w:rsid w:val="000B1F8B"/>
    <w:rsid w:val="000B4226"/>
    <w:rsid w:val="000B5CA0"/>
    <w:rsid w:val="000C285C"/>
    <w:rsid w:val="000C4982"/>
    <w:rsid w:val="000D4880"/>
    <w:rsid w:val="000E1E1C"/>
    <w:rsid w:val="000E3036"/>
    <w:rsid w:val="000E3224"/>
    <w:rsid w:val="000E4CEF"/>
    <w:rsid w:val="000E5120"/>
    <w:rsid w:val="000F00D6"/>
    <w:rsid w:val="000F036C"/>
    <w:rsid w:val="000F0FB6"/>
    <w:rsid w:val="000F5C41"/>
    <w:rsid w:val="00101B2E"/>
    <w:rsid w:val="00101D89"/>
    <w:rsid w:val="00103D32"/>
    <w:rsid w:val="00103E91"/>
    <w:rsid w:val="00104591"/>
    <w:rsid w:val="00106DF7"/>
    <w:rsid w:val="00107C47"/>
    <w:rsid w:val="00113A43"/>
    <w:rsid w:val="00114C31"/>
    <w:rsid w:val="0011605F"/>
    <w:rsid w:val="001166EE"/>
    <w:rsid w:val="00116761"/>
    <w:rsid w:val="00117FF3"/>
    <w:rsid w:val="00132699"/>
    <w:rsid w:val="001331E3"/>
    <w:rsid w:val="001374A8"/>
    <w:rsid w:val="001376A7"/>
    <w:rsid w:val="001406F7"/>
    <w:rsid w:val="00142905"/>
    <w:rsid w:val="00144E45"/>
    <w:rsid w:val="00145AE0"/>
    <w:rsid w:val="0014689A"/>
    <w:rsid w:val="001518E3"/>
    <w:rsid w:val="001553FF"/>
    <w:rsid w:val="001617D7"/>
    <w:rsid w:val="00162EB9"/>
    <w:rsid w:val="00165305"/>
    <w:rsid w:val="001659AD"/>
    <w:rsid w:val="0016601F"/>
    <w:rsid w:val="00166349"/>
    <w:rsid w:val="00166D66"/>
    <w:rsid w:val="00170118"/>
    <w:rsid w:val="00173746"/>
    <w:rsid w:val="00174529"/>
    <w:rsid w:val="00180C48"/>
    <w:rsid w:val="00184B0B"/>
    <w:rsid w:val="00193032"/>
    <w:rsid w:val="00193056"/>
    <w:rsid w:val="001A0913"/>
    <w:rsid w:val="001A6515"/>
    <w:rsid w:val="001A7F1A"/>
    <w:rsid w:val="001B0371"/>
    <w:rsid w:val="001B0404"/>
    <w:rsid w:val="001B06C3"/>
    <w:rsid w:val="001B2217"/>
    <w:rsid w:val="001B5248"/>
    <w:rsid w:val="001B62A7"/>
    <w:rsid w:val="001C15EF"/>
    <w:rsid w:val="001C1679"/>
    <w:rsid w:val="001C1FE3"/>
    <w:rsid w:val="001D03C2"/>
    <w:rsid w:val="001D381E"/>
    <w:rsid w:val="001D7185"/>
    <w:rsid w:val="001E28FC"/>
    <w:rsid w:val="001E31F3"/>
    <w:rsid w:val="001E6148"/>
    <w:rsid w:val="001E6221"/>
    <w:rsid w:val="001F3A89"/>
    <w:rsid w:val="002005E8"/>
    <w:rsid w:val="00202A1C"/>
    <w:rsid w:val="00207935"/>
    <w:rsid w:val="002164BB"/>
    <w:rsid w:val="0021772D"/>
    <w:rsid w:val="00221528"/>
    <w:rsid w:val="00221AAD"/>
    <w:rsid w:val="00224399"/>
    <w:rsid w:val="002267AE"/>
    <w:rsid w:val="00230D0B"/>
    <w:rsid w:val="002334F8"/>
    <w:rsid w:val="00233B51"/>
    <w:rsid w:val="00234C40"/>
    <w:rsid w:val="00237390"/>
    <w:rsid w:val="0023746D"/>
    <w:rsid w:val="00237B6E"/>
    <w:rsid w:val="00241E52"/>
    <w:rsid w:val="002421C5"/>
    <w:rsid w:val="0024284A"/>
    <w:rsid w:val="00243446"/>
    <w:rsid w:val="00250720"/>
    <w:rsid w:val="00255E79"/>
    <w:rsid w:val="00256B86"/>
    <w:rsid w:val="002601FC"/>
    <w:rsid w:val="002606F3"/>
    <w:rsid w:val="002638D2"/>
    <w:rsid w:val="00264566"/>
    <w:rsid w:val="00265496"/>
    <w:rsid w:val="00265A35"/>
    <w:rsid w:val="002664DE"/>
    <w:rsid w:val="002669D0"/>
    <w:rsid w:val="00267A33"/>
    <w:rsid w:val="002754B7"/>
    <w:rsid w:val="00280416"/>
    <w:rsid w:val="00281FEC"/>
    <w:rsid w:val="0028294A"/>
    <w:rsid w:val="00284D99"/>
    <w:rsid w:val="00286F82"/>
    <w:rsid w:val="0029450C"/>
    <w:rsid w:val="002953BE"/>
    <w:rsid w:val="00295A8C"/>
    <w:rsid w:val="002A193D"/>
    <w:rsid w:val="002A19DF"/>
    <w:rsid w:val="002A1A73"/>
    <w:rsid w:val="002A5C25"/>
    <w:rsid w:val="002A620B"/>
    <w:rsid w:val="002B102B"/>
    <w:rsid w:val="002B1C0B"/>
    <w:rsid w:val="002B1E20"/>
    <w:rsid w:val="002B3546"/>
    <w:rsid w:val="002B5C8F"/>
    <w:rsid w:val="002C555C"/>
    <w:rsid w:val="002C5613"/>
    <w:rsid w:val="002C6FA6"/>
    <w:rsid w:val="002D2630"/>
    <w:rsid w:val="002D2CEC"/>
    <w:rsid w:val="002D395E"/>
    <w:rsid w:val="002D4D21"/>
    <w:rsid w:val="002E3E2F"/>
    <w:rsid w:val="002E450F"/>
    <w:rsid w:val="002E53D6"/>
    <w:rsid w:val="002F0964"/>
    <w:rsid w:val="002F1965"/>
    <w:rsid w:val="002F3C57"/>
    <w:rsid w:val="002F5810"/>
    <w:rsid w:val="002F6887"/>
    <w:rsid w:val="002F783E"/>
    <w:rsid w:val="00302CB2"/>
    <w:rsid w:val="00303991"/>
    <w:rsid w:val="00303EF1"/>
    <w:rsid w:val="00310A01"/>
    <w:rsid w:val="00310F8B"/>
    <w:rsid w:val="0031291D"/>
    <w:rsid w:val="00313481"/>
    <w:rsid w:val="003203D8"/>
    <w:rsid w:val="00322766"/>
    <w:rsid w:val="00322A24"/>
    <w:rsid w:val="0033407B"/>
    <w:rsid w:val="0033544F"/>
    <w:rsid w:val="00335F17"/>
    <w:rsid w:val="00336DFD"/>
    <w:rsid w:val="00343419"/>
    <w:rsid w:val="00344963"/>
    <w:rsid w:val="00346358"/>
    <w:rsid w:val="0034664B"/>
    <w:rsid w:val="00347D56"/>
    <w:rsid w:val="003528DB"/>
    <w:rsid w:val="00352BF0"/>
    <w:rsid w:val="0035388F"/>
    <w:rsid w:val="003555B4"/>
    <w:rsid w:val="00363D77"/>
    <w:rsid w:val="00363E8E"/>
    <w:rsid w:val="00365E43"/>
    <w:rsid w:val="003679B3"/>
    <w:rsid w:val="003732AA"/>
    <w:rsid w:val="00374ACC"/>
    <w:rsid w:val="0037523C"/>
    <w:rsid w:val="00376228"/>
    <w:rsid w:val="00380113"/>
    <w:rsid w:val="00382EE7"/>
    <w:rsid w:val="0038497C"/>
    <w:rsid w:val="00384B53"/>
    <w:rsid w:val="00384E79"/>
    <w:rsid w:val="00386D00"/>
    <w:rsid w:val="003903F3"/>
    <w:rsid w:val="00391669"/>
    <w:rsid w:val="00392E2A"/>
    <w:rsid w:val="00393B89"/>
    <w:rsid w:val="00393F2C"/>
    <w:rsid w:val="00395AA8"/>
    <w:rsid w:val="0039733A"/>
    <w:rsid w:val="003B1D83"/>
    <w:rsid w:val="003B2D01"/>
    <w:rsid w:val="003B5080"/>
    <w:rsid w:val="003B68BC"/>
    <w:rsid w:val="003C0E6C"/>
    <w:rsid w:val="003C3D2C"/>
    <w:rsid w:val="003C5528"/>
    <w:rsid w:val="003D387C"/>
    <w:rsid w:val="003D3E57"/>
    <w:rsid w:val="003D3E77"/>
    <w:rsid w:val="003D51AC"/>
    <w:rsid w:val="003D6B09"/>
    <w:rsid w:val="003E00E3"/>
    <w:rsid w:val="003E5C06"/>
    <w:rsid w:val="003E618D"/>
    <w:rsid w:val="003E6FBE"/>
    <w:rsid w:val="003E7A7C"/>
    <w:rsid w:val="003F080A"/>
    <w:rsid w:val="00403983"/>
    <w:rsid w:val="00403C68"/>
    <w:rsid w:val="00405633"/>
    <w:rsid w:val="0040689A"/>
    <w:rsid w:val="004135BD"/>
    <w:rsid w:val="004137EF"/>
    <w:rsid w:val="00413F42"/>
    <w:rsid w:val="00414017"/>
    <w:rsid w:val="00415EF2"/>
    <w:rsid w:val="00420E15"/>
    <w:rsid w:val="00424AC1"/>
    <w:rsid w:val="004267EA"/>
    <w:rsid w:val="00433566"/>
    <w:rsid w:val="004365D7"/>
    <w:rsid w:val="004373E1"/>
    <w:rsid w:val="0044172B"/>
    <w:rsid w:val="004445FB"/>
    <w:rsid w:val="004478CF"/>
    <w:rsid w:val="00450E07"/>
    <w:rsid w:val="00453C58"/>
    <w:rsid w:val="00455EA1"/>
    <w:rsid w:val="004605C8"/>
    <w:rsid w:val="00461809"/>
    <w:rsid w:val="004618E1"/>
    <w:rsid w:val="00461C42"/>
    <w:rsid w:val="00463B5E"/>
    <w:rsid w:val="00466CD4"/>
    <w:rsid w:val="00467EEA"/>
    <w:rsid w:val="004701DA"/>
    <w:rsid w:val="00470CFB"/>
    <w:rsid w:val="00471652"/>
    <w:rsid w:val="00471690"/>
    <w:rsid w:val="00471950"/>
    <w:rsid w:val="004729AD"/>
    <w:rsid w:val="004741CC"/>
    <w:rsid w:val="0048376B"/>
    <w:rsid w:val="00486043"/>
    <w:rsid w:val="00486DC3"/>
    <w:rsid w:val="00490E8A"/>
    <w:rsid w:val="004A3385"/>
    <w:rsid w:val="004A3CDA"/>
    <w:rsid w:val="004A5226"/>
    <w:rsid w:val="004A7631"/>
    <w:rsid w:val="004B0064"/>
    <w:rsid w:val="004C0EFE"/>
    <w:rsid w:val="004C2975"/>
    <w:rsid w:val="004D29D0"/>
    <w:rsid w:val="004D470A"/>
    <w:rsid w:val="004E2D49"/>
    <w:rsid w:val="004E443F"/>
    <w:rsid w:val="004E486B"/>
    <w:rsid w:val="004E5F4C"/>
    <w:rsid w:val="004F02D4"/>
    <w:rsid w:val="004F169B"/>
    <w:rsid w:val="004F3904"/>
    <w:rsid w:val="00502335"/>
    <w:rsid w:val="0050244A"/>
    <w:rsid w:val="00505390"/>
    <w:rsid w:val="0051001A"/>
    <w:rsid w:val="00512266"/>
    <w:rsid w:val="005307BC"/>
    <w:rsid w:val="005345F4"/>
    <w:rsid w:val="00534F1A"/>
    <w:rsid w:val="00537675"/>
    <w:rsid w:val="00537729"/>
    <w:rsid w:val="005406C1"/>
    <w:rsid w:val="00543488"/>
    <w:rsid w:val="00545F8A"/>
    <w:rsid w:val="00551B90"/>
    <w:rsid w:val="0055495F"/>
    <w:rsid w:val="00556626"/>
    <w:rsid w:val="00556B37"/>
    <w:rsid w:val="005618EA"/>
    <w:rsid w:val="00562D07"/>
    <w:rsid w:val="00565EED"/>
    <w:rsid w:val="0056673F"/>
    <w:rsid w:val="00567DD0"/>
    <w:rsid w:val="005713BB"/>
    <w:rsid w:val="00573ABC"/>
    <w:rsid w:val="00576269"/>
    <w:rsid w:val="00576977"/>
    <w:rsid w:val="00577906"/>
    <w:rsid w:val="005806B7"/>
    <w:rsid w:val="005835C4"/>
    <w:rsid w:val="005850D9"/>
    <w:rsid w:val="00585C6F"/>
    <w:rsid w:val="00585DE7"/>
    <w:rsid w:val="00586117"/>
    <w:rsid w:val="005876D5"/>
    <w:rsid w:val="00595C1D"/>
    <w:rsid w:val="00597130"/>
    <w:rsid w:val="00597ABF"/>
    <w:rsid w:val="005B4FED"/>
    <w:rsid w:val="005C1DB5"/>
    <w:rsid w:val="005C538E"/>
    <w:rsid w:val="005C5910"/>
    <w:rsid w:val="005C6418"/>
    <w:rsid w:val="005D64DB"/>
    <w:rsid w:val="005D6A1C"/>
    <w:rsid w:val="005D7AAC"/>
    <w:rsid w:val="005D7E67"/>
    <w:rsid w:val="005E2334"/>
    <w:rsid w:val="005E5B75"/>
    <w:rsid w:val="005E7119"/>
    <w:rsid w:val="005E747D"/>
    <w:rsid w:val="005E78E2"/>
    <w:rsid w:val="0060138F"/>
    <w:rsid w:val="00603869"/>
    <w:rsid w:val="00606284"/>
    <w:rsid w:val="006075D9"/>
    <w:rsid w:val="0061093E"/>
    <w:rsid w:val="0061122B"/>
    <w:rsid w:val="00612422"/>
    <w:rsid w:val="00617A92"/>
    <w:rsid w:val="00621D22"/>
    <w:rsid w:val="00623170"/>
    <w:rsid w:val="00624748"/>
    <w:rsid w:val="00624E38"/>
    <w:rsid w:val="00634D2C"/>
    <w:rsid w:val="00635BF6"/>
    <w:rsid w:val="006403A5"/>
    <w:rsid w:val="00646BF9"/>
    <w:rsid w:val="00661830"/>
    <w:rsid w:val="006650E3"/>
    <w:rsid w:val="006677E2"/>
    <w:rsid w:val="00676FF2"/>
    <w:rsid w:val="00680078"/>
    <w:rsid w:val="006807BC"/>
    <w:rsid w:val="00681DF9"/>
    <w:rsid w:val="00684C08"/>
    <w:rsid w:val="006921EE"/>
    <w:rsid w:val="006954CD"/>
    <w:rsid w:val="006978C9"/>
    <w:rsid w:val="006A0AC4"/>
    <w:rsid w:val="006A2BE9"/>
    <w:rsid w:val="006A3355"/>
    <w:rsid w:val="006A52F3"/>
    <w:rsid w:val="006B1C5C"/>
    <w:rsid w:val="006B3563"/>
    <w:rsid w:val="006B5E97"/>
    <w:rsid w:val="006B789B"/>
    <w:rsid w:val="006B7E40"/>
    <w:rsid w:val="006C0630"/>
    <w:rsid w:val="006C410C"/>
    <w:rsid w:val="006D0737"/>
    <w:rsid w:val="006D3374"/>
    <w:rsid w:val="006D33D5"/>
    <w:rsid w:val="006D499C"/>
    <w:rsid w:val="006D4A83"/>
    <w:rsid w:val="006D6E8F"/>
    <w:rsid w:val="006E2507"/>
    <w:rsid w:val="006E3B91"/>
    <w:rsid w:val="006E77D4"/>
    <w:rsid w:val="006F0A0D"/>
    <w:rsid w:val="006F2DCB"/>
    <w:rsid w:val="007005D6"/>
    <w:rsid w:val="00704F4E"/>
    <w:rsid w:val="007050B3"/>
    <w:rsid w:val="00713FA5"/>
    <w:rsid w:val="00720CDC"/>
    <w:rsid w:val="00723797"/>
    <w:rsid w:val="00726FA0"/>
    <w:rsid w:val="00737CD5"/>
    <w:rsid w:val="007417FF"/>
    <w:rsid w:val="00742C9D"/>
    <w:rsid w:val="00746A92"/>
    <w:rsid w:val="00756040"/>
    <w:rsid w:val="00757D19"/>
    <w:rsid w:val="00762BC5"/>
    <w:rsid w:val="00764371"/>
    <w:rsid w:val="00766284"/>
    <w:rsid w:val="007662CE"/>
    <w:rsid w:val="00773383"/>
    <w:rsid w:val="00773D26"/>
    <w:rsid w:val="00775821"/>
    <w:rsid w:val="00776AEF"/>
    <w:rsid w:val="007818C6"/>
    <w:rsid w:val="007822FC"/>
    <w:rsid w:val="007826E9"/>
    <w:rsid w:val="00783646"/>
    <w:rsid w:val="00791B96"/>
    <w:rsid w:val="00792673"/>
    <w:rsid w:val="007934BA"/>
    <w:rsid w:val="007971DF"/>
    <w:rsid w:val="007A4EE9"/>
    <w:rsid w:val="007A6AAF"/>
    <w:rsid w:val="007A6D9A"/>
    <w:rsid w:val="007A6F70"/>
    <w:rsid w:val="007B36AB"/>
    <w:rsid w:val="007C0785"/>
    <w:rsid w:val="007D1FD8"/>
    <w:rsid w:val="007D3533"/>
    <w:rsid w:val="007E1C2F"/>
    <w:rsid w:val="007E3BC4"/>
    <w:rsid w:val="007E3F18"/>
    <w:rsid w:val="007E51FF"/>
    <w:rsid w:val="007E5B67"/>
    <w:rsid w:val="007E6A15"/>
    <w:rsid w:val="007F76BC"/>
    <w:rsid w:val="007F7B1C"/>
    <w:rsid w:val="007F7E5E"/>
    <w:rsid w:val="008023F7"/>
    <w:rsid w:val="00802865"/>
    <w:rsid w:val="00802B57"/>
    <w:rsid w:val="0080651C"/>
    <w:rsid w:val="00810379"/>
    <w:rsid w:val="00811A34"/>
    <w:rsid w:val="008132FD"/>
    <w:rsid w:val="00814FFC"/>
    <w:rsid w:val="008224FC"/>
    <w:rsid w:val="00822A1A"/>
    <w:rsid w:val="00824D32"/>
    <w:rsid w:val="00824F5E"/>
    <w:rsid w:val="00825A4B"/>
    <w:rsid w:val="00827057"/>
    <w:rsid w:val="00831352"/>
    <w:rsid w:val="008326CD"/>
    <w:rsid w:val="00836B57"/>
    <w:rsid w:val="008408C6"/>
    <w:rsid w:val="008429B1"/>
    <w:rsid w:val="00843306"/>
    <w:rsid w:val="00844435"/>
    <w:rsid w:val="00845C88"/>
    <w:rsid w:val="00846EB9"/>
    <w:rsid w:val="008507E0"/>
    <w:rsid w:val="00850DCC"/>
    <w:rsid w:val="00851121"/>
    <w:rsid w:val="0085117A"/>
    <w:rsid w:val="008514EC"/>
    <w:rsid w:val="00851A83"/>
    <w:rsid w:val="00851EF0"/>
    <w:rsid w:val="00853846"/>
    <w:rsid w:val="0085510D"/>
    <w:rsid w:val="00855DA0"/>
    <w:rsid w:val="00860E55"/>
    <w:rsid w:val="00861C1E"/>
    <w:rsid w:val="0086451A"/>
    <w:rsid w:val="0086456C"/>
    <w:rsid w:val="00867CE7"/>
    <w:rsid w:val="00870C12"/>
    <w:rsid w:val="00874ABE"/>
    <w:rsid w:val="0087550E"/>
    <w:rsid w:val="00877656"/>
    <w:rsid w:val="0088105D"/>
    <w:rsid w:val="0088148A"/>
    <w:rsid w:val="00882413"/>
    <w:rsid w:val="00883A0F"/>
    <w:rsid w:val="0088744F"/>
    <w:rsid w:val="0088794D"/>
    <w:rsid w:val="00891F4A"/>
    <w:rsid w:val="00895E81"/>
    <w:rsid w:val="00896026"/>
    <w:rsid w:val="008A06F7"/>
    <w:rsid w:val="008A627A"/>
    <w:rsid w:val="008A659A"/>
    <w:rsid w:val="008B3A0E"/>
    <w:rsid w:val="008B4A13"/>
    <w:rsid w:val="008C05F8"/>
    <w:rsid w:val="008C0E5D"/>
    <w:rsid w:val="008C43BD"/>
    <w:rsid w:val="008C4894"/>
    <w:rsid w:val="008C6167"/>
    <w:rsid w:val="008D1790"/>
    <w:rsid w:val="008D4190"/>
    <w:rsid w:val="008E214F"/>
    <w:rsid w:val="008E2AEB"/>
    <w:rsid w:val="008E2E6F"/>
    <w:rsid w:val="008E3605"/>
    <w:rsid w:val="008E4B84"/>
    <w:rsid w:val="008F4275"/>
    <w:rsid w:val="008F77DF"/>
    <w:rsid w:val="00900599"/>
    <w:rsid w:val="00901BD2"/>
    <w:rsid w:val="00903FC1"/>
    <w:rsid w:val="00906DA2"/>
    <w:rsid w:val="00912A72"/>
    <w:rsid w:val="009135A3"/>
    <w:rsid w:val="0091393F"/>
    <w:rsid w:val="00913AF4"/>
    <w:rsid w:val="009146ED"/>
    <w:rsid w:val="00914F22"/>
    <w:rsid w:val="00920056"/>
    <w:rsid w:val="009217FB"/>
    <w:rsid w:val="0092565F"/>
    <w:rsid w:val="00927532"/>
    <w:rsid w:val="00937F8A"/>
    <w:rsid w:val="009402FE"/>
    <w:rsid w:val="00942AD5"/>
    <w:rsid w:val="00943236"/>
    <w:rsid w:val="0095325C"/>
    <w:rsid w:val="009558BF"/>
    <w:rsid w:val="009568C7"/>
    <w:rsid w:val="009574B6"/>
    <w:rsid w:val="0096258C"/>
    <w:rsid w:val="009656D4"/>
    <w:rsid w:val="00970249"/>
    <w:rsid w:val="009738FF"/>
    <w:rsid w:val="00975171"/>
    <w:rsid w:val="009759BC"/>
    <w:rsid w:val="00975C18"/>
    <w:rsid w:val="00976954"/>
    <w:rsid w:val="009824A6"/>
    <w:rsid w:val="0098296C"/>
    <w:rsid w:val="009840F1"/>
    <w:rsid w:val="009844F7"/>
    <w:rsid w:val="009856FF"/>
    <w:rsid w:val="00987E1F"/>
    <w:rsid w:val="00990BB9"/>
    <w:rsid w:val="00995209"/>
    <w:rsid w:val="009A1E9D"/>
    <w:rsid w:val="009A3109"/>
    <w:rsid w:val="009A3211"/>
    <w:rsid w:val="009A62B4"/>
    <w:rsid w:val="009B412A"/>
    <w:rsid w:val="009B4E1E"/>
    <w:rsid w:val="009B56DC"/>
    <w:rsid w:val="009B7619"/>
    <w:rsid w:val="009B7BF9"/>
    <w:rsid w:val="009C1490"/>
    <w:rsid w:val="009C568A"/>
    <w:rsid w:val="009C5984"/>
    <w:rsid w:val="009C6AD1"/>
    <w:rsid w:val="009C6AF6"/>
    <w:rsid w:val="009D0441"/>
    <w:rsid w:val="009D51AA"/>
    <w:rsid w:val="009D7261"/>
    <w:rsid w:val="009D7390"/>
    <w:rsid w:val="009D76C8"/>
    <w:rsid w:val="009E1276"/>
    <w:rsid w:val="009E1FF7"/>
    <w:rsid w:val="009E20B7"/>
    <w:rsid w:val="009E2842"/>
    <w:rsid w:val="009E530F"/>
    <w:rsid w:val="009E6FF0"/>
    <w:rsid w:val="009F0530"/>
    <w:rsid w:val="009F0BD4"/>
    <w:rsid w:val="009F42C7"/>
    <w:rsid w:val="009F531C"/>
    <w:rsid w:val="009F5C26"/>
    <w:rsid w:val="00A01EC6"/>
    <w:rsid w:val="00A031EB"/>
    <w:rsid w:val="00A04CC2"/>
    <w:rsid w:val="00A10082"/>
    <w:rsid w:val="00A10335"/>
    <w:rsid w:val="00A124F1"/>
    <w:rsid w:val="00A14DEC"/>
    <w:rsid w:val="00A17444"/>
    <w:rsid w:val="00A230E0"/>
    <w:rsid w:val="00A2489B"/>
    <w:rsid w:val="00A26F0C"/>
    <w:rsid w:val="00A30E61"/>
    <w:rsid w:val="00A3335A"/>
    <w:rsid w:val="00A33414"/>
    <w:rsid w:val="00A3443F"/>
    <w:rsid w:val="00A41202"/>
    <w:rsid w:val="00A43DB9"/>
    <w:rsid w:val="00A45916"/>
    <w:rsid w:val="00A45B4B"/>
    <w:rsid w:val="00A501AA"/>
    <w:rsid w:val="00A50B12"/>
    <w:rsid w:val="00A52347"/>
    <w:rsid w:val="00A53318"/>
    <w:rsid w:val="00A63539"/>
    <w:rsid w:val="00A67273"/>
    <w:rsid w:val="00A7029A"/>
    <w:rsid w:val="00A705A9"/>
    <w:rsid w:val="00A71800"/>
    <w:rsid w:val="00A72B4C"/>
    <w:rsid w:val="00A738E3"/>
    <w:rsid w:val="00A7610B"/>
    <w:rsid w:val="00A80692"/>
    <w:rsid w:val="00A81C38"/>
    <w:rsid w:val="00A85BB8"/>
    <w:rsid w:val="00A86D10"/>
    <w:rsid w:val="00A87AB2"/>
    <w:rsid w:val="00A90CDE"/>
    <w:rsid w:val="00A9143D"/>
    <w:rsid w:val="00A93429"/>
    <w:rsid w:val="00A96BD8"/>
    <w:rsid w:val="00AB1A61"/>
    <w:rsid w:val="00AB2288"/>
    <w:rsid w:val="00AB2F39"/>
    <w:rsid w:val="00AB62D1"/>
    <w:rsid w:val="00AC6077"/>
    <w:rsid w:val="00AC7092"/>
    <w:rsid w:val="00AE0245"/>
    <w:rsid w:val="00AE1937"/>
    <w:rsid w:val="00AE6849"/>
    <w:rsid w:val="00AF0CE8"/>
    <w:rsid w:val="00AF2BFA"/>
    <w:rsid w:val="00AF4430"/>
    <w:rsid w:val="00AF7376"/>
    <w:rsid w:val="00AF7620"/>
    <w:rsid w:val="00B06FAD"/>
    <w:rsid w:val="00B11991"/>
    <w:rsid w:val="00B13FC5"/>
    <w:rsid w:val="00B16B06"/>
    <w:rsid w:val="00B20D27"/>
    <w:rsid w:val="00B20E88"/>
    <w:rsid w:val="00B214B5"/>
    <w:rsid w:val="00B265B7"/>
    <w:rsid w:val="00B26B92"/>
    <w:rsid w:val="00B30D87"/>
    <w:rsid w:val="00B326F3"/>
    <w:rsid w:val="00B33314"/>
    <w:rsid w:val="00B36E04"/>
    <w:rsid w:val="00B37D5F"/>
    <w:rsid w:val="00B422E8"/>
    <w:rsid w:val="00B50D8F"/>
    <w:rsid w:val="00B51036"/>
    <w:rsid w:val="00B52F79"/>
    <w:rsid w:val="00B53C2A"/>
    <w:rsid w:val="00B548C7"/>
    <w:rsid w:val="00B563B9"/>
    <w:rsid w:val="00B56AFE"/>
    <w:rsid w:val="00B60380"/>
    <w:rsid w:val="00B63996"/>
    <w:rsid w:val="00B65C6C"/>
    <w:rsid w:val="00B67510"/>
    <w:rsid w:val="00B7073C"/>
    <w:rsid w:val="00B7080A"/>
    <w:rsid w:val="00B7552E"/>
    <w:rsid w:val="00B75E51"/>
    <w:rsid w:val="00B761C3"/>
    <w:rsid w:val="00B77259"/>
    <w:rsid w:val="00B83781"/>
    <w:rsid w:val="00B83B28"/>
    <w:rsid w:val="00B9159A"/>
    <w:rsid w:val="00B964BF"/>
    <w:rsid w:val="00BA1DE7"/>
    <w:rsid w:val="00BA2A86"/>
    <w:rsid w:val="00BA31F3"/>
    <w:rsid w:val="00BA7568"/>
    <w:rsid w:val="00BB0C9B"/>
    <w:rsid w:val="00BB176B"/>
    <w:rsid w:val="00BD19DF"/>
    <w:rsid w:val="00BE0A34"/>
    <w:rsid w:val="00BE2455"/>
    <w:rsid w:val="00BE2F7B"/>
    <w:rsid w:val="00BE319A"/>
    <w:rsid w:val="00BE4950"/>
    <w:rsid w:val="00BF04EB"/>
    <w:rsid w:val="00BF3388"/>
    <w:rsid w:val="00BF4276"/>
    <w:rsid w:val="00BF4B26"/>
    <w:rsid w:val="00BF5175"/>
    <w:rsid w:val="00C00578"/>
    <w:rsid w:val="00C04409"/>
    <w:rsid w:val="00C051A5"/>
    <w:rsid w:val="00C1140D"/>
    <w:rsid w:val="00C1204D"/>
    <w:rsid w:val="00C1239C"/>
    <w:rsid w:val="00C13AAC"/>
    <w:rsid w:val="00C34926"/>
    <w:rsid w:val="00C36133"/>
    <w:rsid w:val="00C40441"/>
    <w:rsid w:val="00C41AB4"/>
    <w:rsid w:val="00C424EF"/>
    <w:rsid w:val="00C443A1"/>
    <w:rsid w:val="00C50CBF"/>
    <w:rsid w:val="00C5142D"/>
    <w:rsid w:val="00C5181C"/>
    <w:rsid w:val="00C52BA8"/>
    <w:rsid w:val="00C60267"/>
    <w:rsid w:val="00C60924"/>
    <w:rsid w:val="00C639B1"/>
    <w:rsid w:val="00C64587"/>
    <w:rsid w:val="00C6520A"/>
    <w:rsid w:val="00C666A5"/>
    <w:rsid w:val="00C704B5"/>
    <w:rsid w:val="00C71B76"/>
    <w:rsid w:val="00C74770"/>
    <w:rsid w:val="00C76469"/>
    <w:rsid w:val="00C76CAA"/>
    <w:rsid w:val="00C777D2"/>
    <w:rsid w:val="00C817F4"/>
    <w:rsid w:val="00C906FA"/>
    <w:rsid w:val="00C912D3"/>
    <w:rsid w:val="00C91C2C"/>
    <w:rsid w:val="00C95749"/>
    <w:rsid w:val="00CA75C0"/>
    <w:rsid w:val="00CB13CA"/>
    <w:rsid w:val="00CB1BB4"/>
    <w:rsid w:val="00CB478A"/>
    <w:rsid w:val="00CB5C80"/>
    <w:rsid w:val="00CB5FC6"/>
    <w:rsid w:val="00CC1E49"/>
    <w:rsid w:val="00CC3A49"/>
    <w:rsid w:val="00CC587F"/>
    <w:rsid w:val="00CC6A47"/>
    <w:rsid w:val="00CD4BCE"/>
    <w:rsid w:val="00CE1115"/>
    <w:rsid w:val="00CE3400"/>
    <w:rsid w:val="00CE46FF"/>
    <w:rsid w:val="00CE53A9"/>
    <w:rsid w:val="00CE5CD8"/>
    <w:rsid w:val="00CE63CA"/>
    <w:rsid w:val="00CF15A5"/>
    <w:rsid w:val="00CF21F5"/>
    <w:rsid w:val="00CF2CB9"/>
    <w:rsid w:val="00D03EB8"/>
    <w:rsid w:val="00D041E3"/>
    <w:rsid w:val="00D06D74"/>
    <w:rsid w:val="00D1279F"/>
    <w:rsid w:val="00D15350"/>
    <w:rsid w:val="00D222B6"/>
    <w:rsid w:val="00D2263C"/>
    <w:rsid w:val="00D22DB7"/>
    <w:rsid w:val="00D23062"/>
    <w:rsid w:val="00D2378D"/>
    <w:rsid w:val="00D257BD"/>
    <w:rsid w:val="00D40AF8"/>
    <w:rsid w:val="00D43188"/>
    <w:rsid w:val="00D44713"/>
    <w:rsid w:val="00D4733A"/>
    <w:rsid w:val="00D64DEA"/>
    <w:rsid w:val="00D7210B"/>
    <w:rsid w:val="00D73AD8"/>
    <w:rsid w:val="00D75C25"/>
    <w:rsid w:val="00D824EC"/>
    <w:rsid w:val="00D86D29"/>
    <w:rsid w:val="00D8770E"/>
    <w:rsid w:val="00D92C3B"/>
    <w:rsid w:val="00D948F4"/>
    <w:rsid w:val="00D974C4"/>
    <w:rsid w:val="00DA00A7"/>
    <w:rsid w:val="00DA2740"/>
    <w:rsid w:val="00DA572B"/>
    <w:rsid w:val="00DB3286"/>
    <w:rsid w:val="00DB4E72"/>
    <w:rsid w:val="00DB5C82"/>
    <w:rsid w:val="00DB7BE1"/>
    <w:rsid w:val="00DC0788"/>
    <w:rsid w:val="00DC15EF"/>
    <w:rsid w:val="00DC1754"/>
    <w:rsid w:val="00DC6242"/>
    <w:rsid w:val="00DC7DA5"/>
    <w:rsid w:val="00DD22F0"/>
    <w:rsid w:val="00DD35E9"/>
    <w:rsid w:val="00DD36CA"/>
    <w:rsid w:val="00DD6ED0"/>
    <w:rsid w:val="00DE044A"/>
    <w:rsid w:val="00DE148C"/>
    <w:rsid w:val="00DE3408"/>
    <w:rsid w:val="00DE5EF3"/>
    <w:rsid w:val="00DF4466"/>
    <w:rsid w:val="00E024C5"/>
    <w:rsid w:val="00E056DA"/>
    <w:rsid w:val="00E06C33"/>
    <w:rsid w:val="00E079EF"/>
    <w:rsid w:val="00E1206A"/>
    <w:rsid w:val="00E148DE"/>
    <w:rsid w:val="00E149D1"/>
    <w:rsid w:val="00E14DAB"/>
    <w:rsid w:val="00E229B6"/>
    <w:rsid w:val="00E24456"/>
    <w:rsid w:val="00E253A6"/>
    <w:rsid w:val="00E321D5"/>
    <w:rsid w:val="00E3369B"/>
    <w:rsid w:val="00E40CC0"/>
    <w:rsid w:val="00E41BA8"/>
    <w:rsid w:val="00E45512"/>
    <w:rsid w:val="00E4567C"/>
    <w:rsid w:val="00E46A2E"/>
    <w:rsid w:val="00E501E2"/>
    <w:rsid w:val="00E52253"/>
    <w:rsid w:val="00E56B88"/>
    <w:rsid w:val="00E60A00"/>
    <w:rsid w:val="00E6575F"/>
    <w:rsid w:val="00E66F4F"/>
    <w:rsid w:val="00E7090A"/>
    <w:rsid w:val="00E719AE"/>
    <w:rsid w:val="00E739F6"/>
    <w:rsid w:val="00E7746E"/>
    <w:rsid w:val="00E8795F"/>
    <w:rsid w:val="00E90B41"/>
    <w:rsid w:val="00E96479"/>
    <w:rsid w:val="00E97115"/>
    <w:rsid w:val="00EA04D5"/>
    <w:rsid w:val="00EA3344"/>
    <w:rsid w:val="00EA4A19"/>
    <w:rsid w:val="00EA7924"/>
    <w:rsid w:val="00EB5B9C"/>
    <w:rsid w:val="00EB6E2E"/>
    <w:rsid w:val="00EB71C2"/>
    <w:rsid w:val="00EB7C7B"/>
    <w:rsid w:val="00EC1461"/>
    <w:rsid w:val="00EC1541"/>
    <w:rsid w:val="00ED20ED"/>
    <w:rsid w:val="00EE2317"/>
    <w:rsid w:val="00EE4DB0"/>
    <w:rsid w:val="00EE4FC3"/>
    <w:rsid w:val="00EE7705"/>
    <w:rsid w:val="00EF3D64"/>
    <w:rsid w:val="00EF4476"/>
    <w:rsid w:val="00EF5852"/>
    <w:rsid w:val="00EF5C6B"/>
    <w:rsid w:val="00EF662E"/>
    <w:rsid w:val="00EF793E"/>
    <w:rsid w:val="00F008F9"/>
    <w:rsid w:val="00F036F9"/>
    <w:rsid w:val="00F05034"/>
    <w:rsid w:val="00F06007"/>
    <w:rsid w:val="00F1040F"/>
    <w:rsid w:val="00F1196C"/>
    <w:rsid w:val="00F153DF"/>
    <w:rsid w:val="00F15D79"/>
    <w:rsid w:val="00F16504"/>
    <w:rsid w:val="00F1759F"/>
    <w:rsid w:val="00F3071F"/>
    <w:rsid w:val="00F31282"/>
    <w:rsid w:val="00F3410E"/>
    <w:rsid w:val="00F35570"/>
    <w:rsid w:val="00F37578"/>
    <w:rsid w:val="00F41689"/>
    <w:rsid w:val="00F41C69"/>
    <w:rsid w:val="00F446CA"/>
    <w:rsid w:val="00F44D40"/>
    <w:rsid w:val="00F44E29"/>
    <w:rsid w:val="00F4619D"/>
    <w:rsid w:val="00F5087A"/>
    <w:rsid w:val="00F57E78"/>
    <w:rsid w:val="00F61A72"/>
    <w:rsid w:val="00F7626F"/>
    <w:rsid w:val="00F85A9D"/>
    <w:rsid w:val="00F86173"/>
    <w:rsid w:val="00F86285"/>
    <w:rsid w:val="00F8703F"/>
    <w:rsid w:val="00F92538"/>
    <w:rsid w:val="00F92857"/>
    <w:rsid w:val="00FB2150"/>
    <w:rsid w:val="00FB4008"/>
    <w:rsid w:val="00FB4963"/>
    <w:rsid w:val="00FB51C1"/>
    <w:rsid w:val="00FB6E95"/>
    <w:rsid w:val="00FB750A"/>
    <w:rsid w:val="00FB7725"/>
    <w:rsid w:val="00FC0E80"/>
    <w:rsid w:val="00FC3464"/>
    <w:rsid w:val="00FC70B5"/>
    <w:rsid w:val="00FD28DB"/>
    <w:rsid w:val="00FD4EB0"/>
    <w:rsid w:val="00FE4336"/>
    <w:rsid w:val="00FF0137"/>
    <w:rsid w:val="00FF06BF"/>
    <w:rsid w:val="00FF1D0B"/>
    <w:rsid w:val="00FF3D2E"/>
    <w:rsid w:val="00FF609B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1E3303"/>
  <w15:docId w15:val="{965609F6-E3CC-4051-A9BF-6929A4D2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948F4"/>
    <w:pPr>
      <w:keepNext/>
      <w:jc w:val="center"/>
      <w:outlineLvl w:val="0"/>
    </w:pPr>
    <w:rPr>
      <w:rFonts w:ascii="Garamond" w:hAnsi="Garamond" w:cs="Garamond"/>
      <w:b/>
      <w:bCs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75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948F4"/>
    <w:rPr>
      <w:rFonts w:ascii="Garamond" w:eastAsia="Times New Roman" w:hAnsi="Garamond" w:cs="Garamond"/>
      <w:b/>
      <w:bCs/>
      <w:sz w:val="24"/>
      <w:szCs w:val="24"/>
      <w:lang w:val="cs-CZ" w:eastAsia="cs-CZ"/>
    </w:rPr>
  </w:style>
  <w:style w:type="paragraph" w:customStyle="1" w:styleId="doc-ti">
    <w:name w:val="doc-ti"/>
    <w:basedOn w:val="Normlny"/>
    <w:rsid w:val="00D948F4"/>
    <w:pPr>
      <w:spacing w:before="240" w:after="120"/>
      <w:jc w:val="center"/>
    </w:pPr>
    <w:rPr>
      <w:b/>
      <w:bCs/>
    </w:rPr>
  </w:style>
  <w:style w:type="paragraph" w:styleId="Zkladntext">
    <w:name w:val="Body Text"/>
    <w:basedOn w:val="Normlny"/>
    <w:link w:val="ZkladntextChar"/>
    <w:unhideWhenUsed/>
    <w:rsid w:val="00D948F4"/>
    <w:pPr>
      <w:spacing w:after="120" w:line="260" w:lineRule="atLeast"/>
      <w:jc w:val="both"/>
    </w:pPr>
    <w:rPr>
      <w:sz w:val="22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D948F4"/>
    <w:rPr>
      <w:rFonts w:ascii="Times New Roman" w:eastAsia="Times New Roman" w:hAnsi="Times New Roman" w:cs="Times New Roman"/>
      <w:szCs w:val="20"/>
    </w:rPr>
  </w:style>
  <w:style w:type="paragraph" w:customStyle="1" w:styleId="vyhl">
    <w:name w:val="vyhl"/>
    <w:basedOn w:val="Normlny"/>
    <w:rsid w:val="00D948F4"/>
    <w:pPr>
      <w:spacing w:before="240" w:after="100" w:afterAutospacing="1" w:line="260" w:lineRule="atLeast"/>
      <w:jc w:val="center"/>
    </w:pPr>
    <w:rPr>
      <w:b/>
      <w:bCs/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D948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26B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6B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26B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6B9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75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F0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9E6FF0"/>
    <w:pPr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E6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r">
    <w:name w:val="annotation reference"/>
    <w:uiPriority w:val="99"/>
    <w:semiHidden/>
    <w:unhideWhenUsed/>
    <w:rsid w:val="009E6FF0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2F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2F79"/>
    <w:rPr>
      <w:rFonts w:ascii="Tahoma" w:eastAsia="Times New Roman" w:hAnsi="Tahoma" w:cs="Tahoma"/>
      <w:sz w:val="16"/>
      <w:szCs w:val="16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C5181C"/>
    <w:pPr>
      <w:tabs>
        <w:tab w:val="left" w:pos="4111"/>
        <w:tab w:val="right" w:leader="dot" w:pos="9063"/>
      </w:tabs>
      <w:spacing w:line="360" w:lineRule="auto"/>
      <w:ind w:left="8789" w:hanging="8789"/>
      <w:jc w:val="both"/>
    </w:pPr>
    <w:rPr>
      <w:b/>
      <w:bCs/>
      <w:noProof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4A19"/>
    <w:pPr>
      <w:suppressAutoHyphens w:val="0"/>
      <w:overflowPunct/>
      <w:autoSpaceDE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4A1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25CE0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sk-SK"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025CE0"/>
    <w:pPr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025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p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p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dcp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p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D92B-1164-4D4F-B631-8B4DE1D7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Michal</dc:creator>
  <cp:lastModifiedBy>Nagyová Vladimíra Mgr.</cp:lastModifiedBy>
  <cp:revision>4</cp:revision>
  <cp:lastPrinted>2017-08-21T13:03:00Z</cp:lastPrinted>
  <dcterms:created xsi:type="dcterms:W3CDTF">2022-08-19T11:30:00Z</dcterms:created>
  <dcterms:modified xsi:type="dcterms:W3CDTF">2022-08-30T13:19:00Z</dcterms:modified>
</cp:coreProperties>
</file>