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81" w:rsidRDefault="00847281" w:rsidP="00847281">
      <w:pPr>
        <w:pStyle w:val="Nadpis1"/>
        <w:spacing w:before="0" w:after="0"/>
        <w:rPr>
          <w:sz w:val="26"/>
          <w:szCs w:val="26"/>
        </w:rPr>
      </w:pPr>
      <w:r>
        <w:rPr>
          <w:noProof/>
          <w:lang w:eastAsia="sk-SK"/>
        </w:rPr>
        <w:drawing>
          <wp:inline distT="0" distB="0" distL="0" distR="0" wp14:anchorId="5E94A257" wp14:editId="0724DCD8">
            <wp:extent cx="5760720" cy="7397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40B" w:rsidRDefault="001E340B" w:rsidP="001E340B">
      <w:pPr>
        <w:pStyle w:val="Nadpis1"/>
        <w:spacing w:before="0"/>
      </w:pPr>
    </w:p>
    <w:p w:rsidR="00225B3E" w:rsidRDefault="00553F5C" w:rsidP="001E340B">
      <w:pPr>
        <w:pStyle w:val="Nadpis1"/>
        <w:spacing w:before="0"/>
        <w:jc w:val="both"/>
        <w:rPr>
          <w:color w:val="4C7563" w:themeColor="accent1"/>
          <w:sz w:val="26"/>
          <w:szCs w:val="26"/>
        </w:rPr>
      </w:pPr>
      <w:r w:rsidRPr="001E340B">
        <w:rPr>
          <w:color w:val="4C7563" w:themeColor="accent1"/>
          <w:sz w:val="26"/>
          <w:szCs w:val="26"/>
        </w:rPr>
        <w:t xml:space="preserve">OBCHODNÉ PODMIENKY </w:t>
      </w:r>
    </w:p>
    <w:p w:rsidR="009C3D9A" w:rsidRPr="009C3D9A" w:rsidRDefault="009C3D9A" w:rsidP="009C3D9A">
      <w:pPr>
        <w:ind w:firstLine="0"/>
      </w:pPr>
    </w:p>
    <w:p w:rsidR="00225B3E" w:rsidRDefault="00602710" w:rsidP="001E340B">
      <w:pPr>
        <w:pStyle w:val="Nadpis1"/>
        <w:spacing w:before="0"/>
        <w:jc w:val="both"/>
        <w:rPr>
          <w:color w:val="4C7563" w:themeColor="accent1"/>
          <w:sz w:val="26"/>
          <w:szCs w:val="26"/>
        </w:rPr>
      </w:pPr>
      <w:r>
        <w:rPr>
          <w:color w:val="4C7563" w:themeColor="accent1"/>
          <w:sz w:val="26"/>
          <w:szCs w:val="26"/>
        </w:rPr>
        <w:t xml:space="preserve">K </w:t>
      </w:r>
      <w:r w:rsidRPr="001E340B">
        <w:rPr>
          <w:color w:val="4C7563" w:themeColor="accent1"/>
          <w:sz w:val="26"/>
          <w:szCs w:val="26"/>
        </w:rPr>
        <w:t xml:space="preserve">ZMLUVE </w:t>
      </w:r>
      <w:r>
        <w:rPr>
          <w:color w:val="4C7563" w:themeColor="accent1"/>
          <w:sz w:val="26"/>
          <w:szCs w:val="26"/>
        </w:rPr>
        <w:t xml:space="preserve">S EMITENTOM LISTINNÝCH </w:t>
      </w:r>
      <w:r w:rsidR="00DD430C">
        <w:rPr>
          <w:color w:val="4C7563" w:themeColor="accent1"/>
          <w:sz w:val="26"/>
          <w:szCs w:val="26"/>
        </w:rPr>
        <w:t>A</w:t>
      </w:r>
      <w:r>
        <w:rPr>
          <w:color w:val="4C7563" w:themeColor="accent1"/>
          <w:sz w:val="26"/>
          <w:szCs w:val="26"/>
        </w:rPr>
        <w:t>KCIÍ NA MENO O VEDENÍ ZOZNAMU AKCIONÁROV</w:t>
      </w:r>
      <w:r w:rsidR="00225B3E">
        <w:rPr>
          <w:color w:val="4C7563" w:themeColor="accent1"/>
          <w:sz w:val="26"/>
          <w:szCs w:val="26"/>
        </w:rPr>
        <w:t xml:space="preserve"> A K ZMLUVE S EMITENTOM LISTINNÝCH AKCIÍ NA MENO O ZRUŠENÍ ZOZNAMU AKCIONÁROV A UKONČENÍ VEDENIA ZOZNAMU AKCIONÁROV A O VEDENÍ ZOZNAMU AKCIONÁROV V SÚVISLOSTI SO ZMENOU MENOVITEJ HODNOTY A POČTU KUSOV PRI NEZMENENEJ VÝŠKE ZÁKLADNÉHO IMANIA </w:t>
      </w:r>
    </w:p>
    <w:p w:rsidR="00D355EE" w:rsidRPr="00D355EE" w:rsidRDefault="00D355EE" w:rsidP="00D355EE"/>
    <w:p w:rsidR="00553F5C" w:rsidRPr="00D355EE" w:rsidRDefault="009C3D9A" w:rsidP="00D355EE">
      <w:pPr>
        <w:pStyle w:val="Nadpis1"/>
        <w:spacing w:before="0"/>
        <w:jc w:val="both"/>
        <w:rPr>
          <w:color w:val="4C7563" w:themeColor="accent1"/>
          <w:sz w:val="26"/>
          <w:szCs w:val="26"/>
        </w:rPr>
      </w:pPr>
      <w:r>
        <w:rPr>
          <w:color w:val="4C7563" w:themeColor="accent1"/>
          <w:sz w:val="26"/>
          <w:szCs w:val="26"/>
        </w:rPr>
        <w:t>(</w:t>
      </w:r>
      <w:r w:rsidR="00225B3E">
        <w:rPr>
          <w:color w:val="4C7563" w:themeColor="accent1"/>
          <w:sz w:val="26"/>
          <w:szCs w:val="26"/>
        </w:rPr>
        <w:t>VEDENIE ZOZNAMU AKCIONÁROV</w:t>
      </w:r>
      <w:r w:rsidR="00EB6E1B">
        <w:rPr>
          <w:color w:val="4C7563" w:themeColor="accent1"/>
          <w:sz w:val="26"/>
          <w:szCs w:val="26"/>
        </w:rPr>
        <w:t xml:space="preserve"> LISTINNÝCH AKCIÍ NA MENO</w:t>
      </w:r>
      <w:r>
        <w:rPr>
          <w:color w:val="4C7563" w:themeColor="accent1"/>
          <w:sz w:val="26"/>
          <w:szCs w:val="26"/>
        </w:rPr>
        <w:t>)</w:t>
      </w:r>
    </w:p>
    <w:p w:rsidR="005D694A" w:rsidRPr="006235DB" w:rsidRDefault="005D694A" w:rsidP="005D694A">
      <w:pPr>
        <w:ind w:firstLine="0"/>
        <w:jc w:val="both"/>
        <w:rPr>
          <w:rFonts w:cs="Times New Roman"/>
          <w:color w:val="000000" w:themeColor="text1"/>
        </w:rPr>
      </w:pPr>
    </w:p>
    <w:p w:rsidR="00D355EE" w:rsidRPr="00D355EE" w:rsidRDefault="00D355EE" w:rsidP="00D355EE">
      <w:pPr>
        <w:ind w:firstLine="0"/>
        <w:sectPr w:rsidR="00D355EE" w:rsidRPr="00D355EE" w:rsidSect="0084728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283" w:footer="0" w:gutter="0"/>
          <w:cols w:space="708"/>
          <w:titlePg/>
          <w:docGrid w:linePitch="360"/>
        </w:sectPr>
      </w:pPr>
    </w:p>
    <w:p w:rsidR="00D458F6" w:rsidRPr="00CE0F4D" w:rsidRDefault="005D694A" w:rsidP="006404F8">
      <w:pPr>
        <w:pStyle w:val="Nadpis2"/>
        <w:numPr>
          <w:ilvl w:val="0"/>
          <w:numId w:val="13"/>
        </w:numPr>
        <w:ind w:left="567" w:hanging="567"/>
      </w:pPr>
      <w:r w:rsidRPr="001E340B">
        <w:rPr>
          <w:rStyle w:val="Jemnzvraznenie"/>
          <w:b/>
          <w:iCs w:val="0"/>
        </w:rPr>
        <w:lastRenderedPageBreak/>
        <w:t>DEFINÍCIE A</w:t>
      </w:r>
      <w:r w:rsidR="00DB1120" w:rsidRPr="001E340B">
        <w:rPr>
          <w:rStyle w:val="Jemnzvraznenie"/>
          <w:b/>
          <w:iCs w:val="0"/>
        </w:rPr>
        <w:t> </w:t>
      </w:r>
      <w:r w:rsidRPr="001E340B">
        <w:rPr>
          <w:rStyle w:val="Jemnzvraznenie"/>
          <w:b/>
          <w:iCs w:val="0"/>
        </w:rPr>
        <w:t>SKRATKY</w:t>
      </w:r>
    </w:p>
    <w:p w:rsidR="007A64C2" w:rsidRDefault="007A64C2" w:rsidP="005D694A">
      <w:pPr>
        <w:ind w:firstLine="0"/>
        <w:jc w:val="both"/>
        <w:rPr>
          <w:rFonts w:cs="Times New Roman"/>
          <w:b/>
          <w:color w:val="000000" w:themeColor="text1"/>
        </w:rPr>
      </w:pPr>
    </w:p>
    <w:p w:rsidR="00D458F6" w:rsidRDefault="00D458F6" w:rsidP="005D694A">
      <w:pPr>
        <w:ind w:firstLine="0"/>
        <w:jc w:val="both"/>
        <w:rPr>
          <w:rFonts w:cs="Times New Roman"/>
          <w:color w:val="000000" w:themeColor="text1"/>
        </w:rPr>
      </w:pPr>
      <w:r w:rsidRPr="006235DB">
        <w:rPr>
          <w:rFonts w:cs="Times New Roman"/>
          <w:b/>
          <w:color w:val="000000" w:themeColor="text1"/>
        </w:rPr>
        <w:t>Centrálny depozitár</w:t>
      </w:r>
      <w:r>
        <w:rPr>
          <w:rFonts w:cs="Times New Roman"/>
          <w:b/>
          <w:color w:val="000000" w:themeColor="text1"/>
        </w:rPr>
        <w:t xml:space="preserve"> - </w:t>
      </w:r>
      <w:r w:rsidRPr="006235DB">
        <w:rPr>
          <w:rFonts w:cs="Times New Roman"/>
          <w:color w:val="000000" w:themeColor="text1"/>
        </w:rPr>
        <w:t>Centrálny depozitár cenných papierov SR, a.s.</w:t>
      </w:r>
    </w:p>
    <w:p w:rsidR="00D458F6" w:rsidRDefault="00D458F6" w:rsidP="005D694A">
      <w:pPr>
        <w:ind w:firstLine="0"/>
        <w:jc w:val="both"/>
        <w:rPr>
          <w:rFonts w:cs="Times New Roman"/>
          <w:color w:val="000000" w:themeColor="text1"/>
        </w:rPr>
      </w:pPr>
    </w:p>
    <w:p w:rsidR="00D458F6" w:rsidRDefault="00D458F6" w:rsidP="005D694A">
      <w:pPr>
        <w:ind w:firstLine="0"/>
        <w:jc w:val="both"/>
        <w:rPr>
          <w:rFonts w:cs="Times New Roman"/>
          <w:color w:val="000000" w:themeColor="text1"/>
        </w:rPr>
      </w:pPr>
      <w:r w:rsidRPr="006235DB">
        <w:rPr>
          <w:rFonts w:cs="Times New Roman"/>
          <w:b/>
          <w:color w:val="000000" w:themeColor="text1"/>
        </w:rPr>
        <w:t>Cenník</w:t>
      </w:r>
      <w:r>
        <w:rPr>
          <w:rFonts w:cs="Times New Roman"/>
          <w:b/>
          <w:color w:val="000000" w:themeColor="text1"/>
        </w:rPr>
        <w:t xml:space="preserve"> - </w:t>
      </w:r>
      <w:r w:rsidRPr="006235DB">
        <w:rPr>
          <w:rFonts w:cs="Times New Roman"/>
          <w:color w:val="000000" w:themeColor="text1"/>
        </w:rPr>
        <w:t>Cenník Centrálneho depozitára cenných papierov SR, a.s.</w:t>
      </w:r>
      <w:r>
        <w:rPr>
          <w:rFonts w:cs="Times New Roman"/>
          <w:color w:val="000000" w:themeColor="text1"/>
        </w:rPr>
        <w:t xml:space="preserve"> v platnom znení.</w:t>
      </w:r>
    </w:p>
    <w:p w:rsidR="00D458F6" w:rsidRDefault="00D458F6" w:rsidP="005D694A">
      <w:pPr>
        <w:ind w:firstLine="0"/>
        <w:jc w:val="both"/>
        <w:rPr>
          <w:rFonts w:cs="Times New Roman"/>
          <w:color w:val="000000" w:themeColor="text1"/>
        </w:rPr>
      </w:pPr>
    </w:p>
    <w:p w:rsidR="00D458F6" w:rsidRDefault="00D458F6" w:rsidP="005D694A">
      <w:pPr>
        <w:ind w:firstLine="0"/>
        <w:jc w:val="both"/>
        <w:rPr>
          <w:rFonts w:cs="Times New Roman"/>
          <w:color w:val="000000" w:themeColor="text1"/>
        </w:rPr>
      </w:pPr>
      <w:r w:rsidRPr="006235DB">
        <w:rPr>
          <w:rFonts w:cs="Times New Roman"/>
          <w:b/>
          <w:color w:val="000000" w:themeColor="text1"/>
        </w:rPr>
        <w:t>CP</w:t>
      </w:r>
      <w:r>
        <w:rPr>
          <w:rFonts w:cs="Times New Roman"/>
          <w:b/>
          <w:color w:val="000000" w:themeColor="text1"/>
        </w:rPr>
        <w:t xml:space="preserve"> - </w:t>
      </w:r>
      <w:r w:rsidRPr="006235DB">
        <w:rPr>
          <w:rFonts w:cs="Times New Roman"/>
          <w:color w:val="000000" w:themeColor="text1"/>
        </w:rPr>
        <w:t>cenný papier/cenné papiere</w:t>
      </w:r>
      <w:r>
        <w:rPr>
          <w:rFonts w:cs="Times New Roman"/>
          <w:color w:val="000000" w:themeColor="text1"/>
        </w:rPr>
        <w:t>.</w:t>
      </w:r>
    </w:p>
    <w:p w:rsidR="00D458F6" w:rsidRDefault="00D458F6" w:rsidP="005D694A">
      <w:pPr>
        <w:ind w:firstLine="0"/>
        <w:jc w:val="both"/>
        <w:rPr>
          <w:rFonts w:cs="Times New Roman"/>
          <w:color w:val="000000" w:themeColor="text1"/>
        </w:rPr>
      </w:pPr>
    </w:p>
    <w:p w:rsidR="00656922" w:rsidRDefault="00F67172" w:rsidP="005D694A">
      <w:pPr>
        <w:ind w:firstLine="0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ČEM </w:t>
      </w:r>
      <w:r w:rsidR="00D26247">
        <w:rPr>
          <w:rFonts w:cs="Times New Roman"/>
          <w:b/>
          <w:color w:val="000000" w:themeColor="text1"/>
        </w:rPr>
        <w:t>–</w:t>
      </w:r>
      <w:r w:rsidR="00656922" w:rsidRPr="00225B3E">
        <w:rPr>
          <w:rFonts w:cs="Times New Roman"/>
          <w:b/>
          <w:color w:val="000000" w:themeColor="text1"/>
        </w:rPr>
        <w:t xml:space="preserve"> </w:t>
      </w:r>
      <w:r w:rsidR="00656922" w:rsidRPr="00225B3E">
        <w:rPr>
          <w:rFonts w:cs="Times New Roman"/>
          <w:color w:val="000000" w:themeColor="text1"/>
        </w:rPr>
        <w:t>číslo emisie</w:t>
      </w:r>
      <w:r w:rsidR="00497FA5" w:rsidRPr="00225B3E">
        <w:rPr>
          <w:rFonts w:cs="Times New Roman"/>
          <w:color w:val="000000" w:themeColor="text1"/>
        </w:rPr>
        <w:t>, pridelené Centrálny</w:t>
      </w:r>
      <w:r w:rsidR="00EB6E1B">
        <w:rPr>
          <w:rFonts w:cs="Times New Roman"/>
          <w:color w:val="000000" w:themeColor="text1"/>
        </w:rPr>
        <w:t>m</w:t>
      </w:r>
      <w:r w:rsidR="00497FA5" w:rsidRPr="00225B3E">
        <w:rPr>
          <w:rFonts w:cs="Times New Roman"/>
          <w:color w:val="000000" w:themeColor="text1"/>
        </w:rPr>
        <w:t xml:space="preserve"> depozitárom </w:t>
      </w:r>
      <w:r w:rsidR="001D5516" w:rsidRPr="00225B3E">
        <w:rPr>
          <w:rFonts w:cs="Times New Roman"/>
          <w:color w:val="000000" w:themeColor="text1"/>
        </w:rPr>
        <w:t>k zoznamu akcionárov</w:t>
      </w:r>
      <w:r w:rsidR="00D26247">
        <w:rPr>
          <w:rFonts w:cs="Times New Roman"/>
          <w:color w:val="000000" w:themeColor="text1"/>
        </w:rPr>
        <w:t xml:space="preserve"> na účely využívania a poskytovania služieb Centrálneho depozitára a na účel identifikácie zoznamu akcionárov. ČEM slúži výlučne na účely súvisiace s vedením zoznamu akcionárov  v Centrálnom depozitári.</w:t>
      </w:r>
    </w:p>
    <w:p w:rsidR="00656922" w:rsidRDefault="00656922" w:rsidP="005D694A">
      <w:pPr>
        <w:ind w:firstLine="0"/>
        <w:jc w:val="both"/>
        <w:rPr>
          <w:rFonts w:cs="Times New Roman"/>
          <w:b/>
          <w:color w:val="000000" w:themeColor="text1"/>
        </w:rPr>
      </w:pPr>
    </w:p>
    <w:p w:rsidR="00D458F6" w:rsidRDefault="00D458F6" w:rsidP="005D694A">
      <w:pPr>
        <w:ind w:firstLine="0"/>
        <w:jc w:val="both"/>
        <w:rPr>
          <w:rStyle w:val="Siln"/>
          <w:b w:val="0"/>
        </w:rPr>
      </w:pPr>
      <w:r>
        <w:rPr>
          <w:rFonts w:cs="Times New Roman"/>
          <w:b/>
          <w:color w:val="000000" w:themeColor="text1"/>
        </w:rPr>
        <w:t xml:space="preserve">Nariadenie CSDR - </w:t>
      </w:r>
      <w:r w:rsidRPr="00471BAC">
        <w:t>Nariadenie</w:t>
      </w:r>
      <w:r w:rsidRPr="00471BAC">
        <w:rPr>
          <w:b/>
        </w:rPr>
        <w:t xml:space="preserve"> </w:t>
      </w:r>
      <w:r w:rsidRPr="00471BAC">
        <w:rPr>
          <w:rStyle w:val="Siln"/>
          <w:b w:val="0"/>
        </w:rPr>
        <w:t>Európskeho parlamentu a Rady (EÚ) č. 909/2014 z  23. júla 2014 o zlepšení vyrovnania transakcií s cennými papiermi v Európskej únii, centrálnych depozitároch cenných papierov a o zmene smerníc 98/26/ES a 2014/65/EÚ a nariadenia (EÚ) č. 236/2012</w:t>
      </w:r>
      <w:r>
        <w:rPr>
          <w:rStyle w:val="Siln"/>
          <w:b w:val="0"/>
        </w:rPr>
        <w:t>.</w:t>
      </w:r>
    </w:p>
    <w:p w:rsidR="00D458F6" w:rsidRDefault="00D458F6" w:rsidP="005D694A">
      <w:pPr>
        <w:ind w:firstLine="0"/>
        <w:jc w:val="both"/>
        <w:rPr>
          <w:rFonts w:cs="Times New Roman"/>
          <w:color w:val="000000" w:themeColor="text1"/>
        </w:rPr>
      </w:pPr>
    </w:p>
    <w:p w:rsidR="009C3D9A" w:rsidRDefault="00D458F6" w:rsidP="009C3D9A">
      <w:pPr>
        <w:ind w:firstLine="0"/>
        <w:jc w:val="both"/>
      </w:pPr>
      <w:r>
        <w:rPr>
          <w:rFonts w:cs="Times New Roman"/>
          <w:b/>
          <w:color w:val="000000" w:themeColor="text1"/>
        </w:rPr>
        <w:t xml:space="preserve">Obchodné podmienky - </w:t>
      </w:r>
      <w:r>
        <w:rPr>
          <w:color w:val="000000" w:themeColor="text1"/>
        </w:rPr>
        <w:t xml:space="preserve">Tieto obchodné podmienky </w:t>
      </w:r>
      <w:r w:rsidR="009C3D9A">
        <w:t xml:space="preserve">k Zmluve s emitentom listinných akcií na meno o vedení zoznamu akcionárov a k Zmluve s emitentom listinných akcií na </w:t>
      </w:r>
      <w:r w:rsidR="009C3D9A">
        <w:lastRenderedPageBreak/>
        <w:t>meno o zrušení zoznamu akcionárov a ukončení vedenia zoznamu akcionárov a o vedení zoznamu akcionárov v súvislosti so zmenou menovitej hodnoty a počtu kusov pri nezmenenej výške základného imania.</w:t>
      </w:r>
    </w:p>
    <w:p w:rsidR="00D458F6" w:rsidRDefault="00D458F6" w:rsidP="005D694A">
      <w:pPr>
        <w:ind w:firstLine="0"/>
        <w:jc w:val="both"/>
      </w:pPr>
    </w:p>
    <w:p w:rsidR="00D458F6" w:rsidRDefault="00D458F6" w:rsidP="005D694A">
      <w:pPr>
        <w:ind w:firstLine="0"/>
        <w:jc w:val="both"/>
        <w:rPr>
          <w:rFonts w:cs="Times New Roman"/>
          <w:b/>
          <w:color w:val="000000" w:themeColor="text1"/>
        </w:rPr>
      </w:pPr>
      <w:r w:rsidRPr="006235DB">
        <w:rPr>
          <w:rFonts w:cs="Times New Roman"/>
          <w:b/>
          <w:color w:val="000000" w:themeColor="text1"/>
        </w:rPr>
        <w:t>Obchodný zákonník</w:t>
      </w:r>
      <w:r>
        <w:rPr>
          <w:rFonts w:cs="Times New Roman"/>
          <w:b/>
          <w:color w:val="000000" w:themeColor="text1"/>
        </w:rPr>
        <w:t xml:space="preserve"> - </w:t>
      </w:r>
      <w:r w:rsidR="00EB6E1B">
        <w:rPr>
          <w:rFonts w:cs="Times New Roman"/>
          <w:color w:val="000000" w:themeColor="text1"/>
        </w:rPr>
        <w:t>z</w:t>
      </w:r>
      <w:r w:rsidRPr="006235DB">
        <w:rPr>
          <w:rFonts w:cs="Times New Roman"/>
          <w:color w:val="000000" w:themeColor="text1"/>
        </w:rPr>
        <w:t>ákon č. 513/1991 Zb. Obchodný zákonník v znení neskorších predpisov</w:t>
      </w:r>
      <w:r>
        <w:rPr>
          <w:rFonts w:cs="Times New Roman"/>
          <w:color w:val="000000" w:themeColor="text1"/>
        </w:rPr>
        <w:t>.</w:t>
      </w:r>
    </w:p>
    <w:p w:rsidR="00D458F6" w:rsidRDefault="00D458F6" w:rsidP="005D694A">
      <w:pPr>
        <w:ind w:firstLine="0"/>
        <w:jc w:val="both"/>
        <w:rPr>
          <w:rFonts w:cs="Times New Roman"/>
          <w:b/>
          <w:color w:val="000000" w:themeColor="text1"/>
        </w:rPr>
      </w:pPr>
    </w:p>
    <w:p w:rsidR="00D458F6" w:rsidRDefault="00D458F6" w:rsidP="005D694A">
      <w:pPr>
        <w:ind w:firstLine="0"/>
        <w:jc w:val="both"/>
        <w:rPr>
          <w:rFonts w:cs="Times New Roman"/>
          <w:color w:val="000000" w:themeColor="text1"/>
        </w:rPr>
      </w:pPr>
      <w:r w:rsidRPr="006235DB">
        <w:rPr>
          <w:rFonts w:cs="Times New Roman"/>
          <w:b/>
          <w:color w:val="000000" w:themeColor="text1"/>
        </w:rPr>
        <w:t>Prevádzkový poriadok</w:t>
      </w:r>
      <w:r>
        <w:rPr>
          <w:rFonts w:cs="Times New Roman"/>
          <w:b/>
          <w:color w:val="000000" w:themeColor="text1"/>
        </w:rPr>
        <w:t xml:space="preserve"> - </w:t>
      </w:r>
      <w:r w:rsidRPr="006235DB">
        <w:rPr>
          <w:rFonts w:cs="Times New Roman"/>
          <w:color w:val="000000" w:themeColor="text1"/>
        </w:rPr>
        <w:t>Prevádzkový poriadok Centrálneho depozitára cenných papierov SR, a.s.</w:t>
      </w:r>
      <w:r>
        <w:rPr>
          <w:rFonts w:cs="Times New Roman"/>
          <w:color w:val="000000" w:themeColor="text1"/>
        </w:rPr>
        <w:t xml:space="preserve"> v platnom znení.</w:t>
      </w:r>
    </w:p>
    <w:p w:rsidR="003010ED" w:rsidRDefault="003010ED" w:rsidP="005D694A">
      <w:pPr>
        <w:ind w:firstLine="0"/>
        <w:jc w:val="both"/>
        <w:rPr>
          <w:rFonts w:cs="Times New Roman"/>
          <w:color w:val="000000" w:themeColor="text1"/>
        </w:rPr>
      </w:pPr>
    </w:p>
    <w:p w:rsidR="003010ED" w:rsidRDefault="003010ED" w:rsidP="005D694A">
      <w:pPr>
        <w:ind w:firstLine="0"/>
        <w:jc w:val="both"/>
        <w:rPr>
          <w:rFonts w:cs="Times New Roman"/>
          <w:b/>
          <w:color w:val="000000" w:themeColor="text1"/>
        </w:rPr>
      </w:pPr>
      <w:r w:rsidRPr="003010ED">
        <w:rPr>
          <w:rFonts w:cs="Times New Roman"/>
          <w:b/>
          <w:color w:val="000000" w:themeColor="text1"/>
        </w:rPr>
        <w:t>Príkaz</w:t>
      </w:r>
      <w:r>
        <w:rPr>
          <w:rFonts w:cs="Times New Roman"/>
          <w:color w:val="000000" w:themeColor="text1"/>
        </w:rPr>
        <w:t xml:space="preserve"> </w:t>
      </w:r>
      <w:r w:rsidR="00DD2EBC">
        <w:rPr>
          <w:rFonts w:cs="Times New Roman"/>
          <w:color w:val="000000" w:themeColor="text1"/>
        </w:rPr>
        <w:t>-</w:t>
      </w:r>
      <w:r>
        <w:rPr>
          <w:rFonts w:cs="Times New Roman"/>
          <w:color w:val="000000" w:themeColor="text1"/>
        </w:rPr>
        <w:t xml:space="preserve"> </w:t>
      </w:r>
      <w:r w:rsidR="0019596E">
        <w:rPr>
          <w:rFonts w:cs="Times New Roman"/>
          <w:color w:val="000000" w:themeColor="text1"/>
        </w:rPr>
        <w:t xml:space="preserve">Požiadavka na službu podaná emitentom </w:t>
      </w:r>
      <w:r w:rsidR="00DD2EBC">
        <w:rPr>
          <w:rFonts w:cs="Times New Roman"/>
          <w:color w:val="000000" w:themeColor="text1"/>
        </w:rPr>
        <w:t>na základe Zm</w:t>
      </w:r>
      <w:bookmarkStart w:id="0" w:name="_GoBack"/>
      <w:bookmarkEnd w:id="0"/>
      <w:r w:rsidR="00DD2EBC">
        <w:rPr>
          <w:rFonts w:cs="Times New Roman"/>
          <w:color w:val="000000" w:themeColor="text1"/>
        </w:rPr>
        <w:t>luvy o </w:t>
      </w:r>
      <w:r w:rsidR="008F0437">
        <w:rPr>
          <w:rFonts w:cs="Times New Roman"/>
          <w:color w:val="000000" w:themeColor="text1"/>
        </w:rPr>
        <w:t>v</w:t>
      </w:r>
      <w:r w:rsidR="00DD2EBC">
        <w:rPr>
          <w:rFonts w:cs="Times New Roman"/>
          <w:color w:val="000000" w:themeColor="text1"/>
        </w:rPr>
        <w:t xml:space="preserve">edení zoznamu akcionárov </w:t>
      </w:r>
      <w:r w:rsidR="0019596E">
        <w:rPr>
          <w:rFonts w:cs="Times New Roman"/>
          <w:color w:val="000000" w:themeColor="text1"/>
        </w:rPr>
        <w:t xml:space="preserve">prostredníctvom </w:t>
      </w:r>
      <w:r w:rsidR="00EB6E1B">
        <w:rPr>
          <w:rFonts w:cs="Times New Roman"/>
          <w:color w:val="000000" w:themeColor="text1"/>
        </w:rPr>
        <w:t xml:space="preserve">osobitného </w:t>
      </w:r>
      <w:r w:rsidR="0019596E">
        <w:rPr>
          <w:rFonts w:cs="Times New Roman"/>
          <w:color w:val="000000" w:themeColor="text1"/>
        </w:rPr>
        <w:t>pokynu emitenta na predpísanom formulári</w:t>
      </w:r>
      <w:r w:rsidR="00DD2EBC">
        <w:rPr>
          <w:rFonts w:cs="Times New Roman"/>
          <w:color w:val="000000" w:themeColor="text1"/>
        </w:rPr>
        <w:t xml:space="preserve"> a spôsobom podľa týchto Obchodných podmienok</w:t>
      </w:r>
      <w:r w:rsidR="0019596E">
        <w:rPr>
          <w:rFonts w:cs="Times New Roman"/>
          <w:color w:val="000000" w:themeColor="text1"/>
        </w:rPr>
        <w:t>, s </w:t>
      </w:r>
      <w:r w:rsidR="00B65A90">
        <w:rPr>
          <w:rFonts w:cs="Times New Roman"/>
          <w:color w:val="000000" w:themeColor="text1"/>
        </w:rPr>
        <w:t>ktorou</w:t>
      </w:r>
      <w:r w:rsidR="0019596E">
        <w:rPr>
          <w:rFonts w:cs="Times New Roman"/>
          <w:color w:val="000000" w:themeColor="text1"/>
        </w:rPr>
        <w:t xml:space="preserve"> sú spojené právne účinky v zmysle týchto Obchodných podmienok.</w:t>
      </w:r>
    </w:p>
    <w:p w:rsidR="00D458F6" w:rsidRDefault="00D458F6" w:rsidP="005D694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58F6" w:rsidRDefault="00D458F6" w:rsidP="005D694A">
      <w:pPr>
        <w:ind w:firstLine="0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VOR - </w:t>
      </w:r>
      <w:r>
        <w:rPr>
          <w:rFonts w:cs="Times New Roman"/>
          <w:color w:val="000000" w:themeColor="text1"/>
        </w:rPr>
        <w:t>výpis z obchodného registra.</w:t>
      </w:r>
    </w:p>
    <w:p w:rsidR="00CE0F4D" w:rsidRDefault="00CE0F4D" w:rsidP="005D694A">
      <w:pPr>
        <w:ind w:firstLine="0"/>
        <w:jc w:val="both"/>
        <w:rPr>
          <w:rFonts w:cs="Times New Roman"/>
          <w:color w:val="000000" w:themeColor="text1"/>
        </w:rPr>
      </w:pPr>
    </w:p>
    <w:p w:rsidR="00D458F6" w:rsidRPr="00722D68" w:rsidRDefault="00602710" w:rsidP="005D694A">
      <w:pPr>
        <w:ind w:firstLine="0"/>
        <w:jc w:val="both"/>
        <w:rPr>
          <w:bCs/>
        </w:rPr>
      </w:pPr>
      <w:r w:rsidRPr="006235DB">
        <w:rPr>
          <w:rFonts w:cs="Times New Roman"/>
          <w:b/>
          <w:color w:val="000000" w:themeColor="text1"/>
        </w:rPr>
        <w:t>Zmluva o</w:t>
      </w:r>
      <w:r>
        <w:rPr>
          <w:rFonts w:cs="Times New Roman"/>
          <w:b/>
          <w:color w:val="000000" w:themeColor="text1"/>
        </w:rPr>
        <w:t xml:space="preserve"> vedení zoznamu akcionárov </w:t>
      </w:r>
      <w:r w:rsidR="00D458F6">
        <w:rPr>
          <w:rFonts w:cs="Times New Roman"/>
          <w:b/>
          <w:color w:val="000000" w:themeColor="text1"/>
        </w:rPr>
        <w:t xml:space="preserve">- </w:t>
      </w:r>
      <w:r w:rsidR="00D458F6">
        <w:rPr>
          <w:rFonts w:cs="Times New Roman"/>
          <w:color w:val="000000" w:themeColor="text1"/>
        </w:rPr>
        <w:t xml:space="preserve">Na účely týchto Obchodných podmienok ide o </w:t>
      </w:r>
      <w:r w:rsidR="00722D68">
        <w:t>Zmluvu</w:t>
      </w:r>
      <w:r>
        <w:t xml:space="preserve"> s emitentom listinných akcií na meno o vedení zoznamu akcionárov</w:t>
      </w:r>
      <w:r w:rsidRPr="006235DB">
        <w:rPr>
          <w:rFonts w:cs="Times New Roman"/>
          <w:color w:val="000000" w:themeColor="text1"/>
        </w:rPr>
        <w:t xml:space="preserve"> </w:t>
      </w:r>
      <w:r w:rsidR="00D458F6" w:rsidRPr="006235DB">
        <w:rPr>
          <w:rFonts w:cs="Times New Roman"/>
          <w:color w:val="000000" w:themeColor="text1"/>
        </w:rPr>
        <w:t xml:space="preserve">alebo </w:t>
      </w:r>
      <w:r w:rsidR="00D458F6">
        <w:rPr>
          <w:rFonts w:cs="Times New Roman"/>
        </w:rPr>
        <w:t>Z</w:t>
      </w:r>
      <w:r w:rsidR="00D458F6" w:rsidRPr="006235DB">
        <w:rPr>
          <w:rFonts w:cs="Times New Roman"/>
        </w:rPr>
        <w:t xml:space="preserve">mluvu </w:t>
      </w:r>
      <w:r w:rsidR="00722D68" w:rsidRPr="003F3570">
        <w:t>s emitentom listinných akcií na meno</w:t>
      </w:r>
      <w:r w:rsidR="00722D68" w:rsidRPr="003F3570">
        <w:br/>
        <w:t xml:space="preserve">o zrušení zoznamu akcionárov a ukončení </w:t>
      </w:r>
      <w:r w:rsidR="00722D68" w:rsidRPr="003F3570">
        <w:lastRenderedPageBreak/>
        <w:t xml:space="preserve">vedenia zoznamu akcionárov </w:t>
      </w:r>
      <w:r w:rsidR="00722D68" w:rsidRPr="007F70CC">
        <w:rPr>
          <w:bCs/>
        </w:rPr>
        <w:t xml:space="preserve">a o vedení zoznamu akcionárov </w:t>
      </w:r>
      <w:r w:rsidR="00722D68">
        <w:rPr>
          <w:bCs/>
        </w:rPr>
        <w:t xml:space="preserve"> </w:t>
      </w:r>
      <w:r w:rsidR="00722D68" w:rsidRPr="007F70CC">
        <w:rPr>
          <w:bCs/>
        </w:rPr>
        <w:t>v súvislosti so zmenou menovitej hodnoty a počtu kusov</w:t>
      </w:r>
      <w:r w:rsidR="00722D68">
        <w:rPr>
          <w:bCs/>
        </w:rPr>
        <w:t xml:space="preserve"> pri nezmenenej výške základného imania</w:t>
      </w:r>
      <w:r w:rsidR="00D458F6" w:rsidRPr="006235DB">
        <w:rPr>
          <w:rFonts w:cs="Times New Roman"/>
        </w:rPr>
        <w:t xml:space="preserve">, ktorú Centrálny depozitár uzatvoril s emitentom za účelom </w:t>
      </w:r>
      <w:r>
        <w:rPr>
          <w:rFonts w:cs="Times New Roman"/>
        </w:rPr>
        <w:t>vedenia zoznamu akcionárov listinných akcií na meno v súlade s príslušnými ustanoveniami Obchodného zákonníka a ZOCP a</w:t>
      </w:r>
      <w:r w:rsidR="00D458F6" w:rsidRPr="006235DB">
        <w:rPr>
          <w:rFonts w:cs="Times New Roman"/>
        </w:rPr>
        <w:t xml:space="preserve"> </w:t>
      </w:r>
      <w:r w:rsidR="00D458F6">
        <w:rPr>
          <w:rFonts w:cs="Times New Roman"/>
        </w:rPr>
        <w:t>poskytovania</w:t>
      </w:r>
      <w:r w:rsidR="00D458F6" w:rsidRPr="006235DB">
        <w:rPr>
          <w:rFonts w:cs="Times New Roman"/>
        </w:rPr>
        <w:t xml:space="preserve"> </w:t>
      </w:r>
      <w:r w:rsidR="00D458F6">
        <w:rPr>
          <w:rFonts w:cs="Times New Roman"/>
        </w:rPr>
        <w:t xml:space="preserve">služieb pre emitenta súvisiacich </w:t>
      </w:r>
      <w:r w:rsidR="00D458F6" w:rsidRPr="006235DB">
        <w:rPr>
          <w:rFonts w:cs="Times New Roman"/>
        </w:rPr>
        <w:t>s</w:t>
      </w:r>
      <w:r>
        <w:rPr>
          <w:rFonts w:cs="Times New Roman"/>
        </w:rPr>
        <w:t> vedením uvedeného zoznamu akcionárov</w:t>
      </w:r>
      <w:r w:rsidR="00D458F6">
        <w:rPr>
          <w:rFonts w:cs="Times New Roman"/>
        </w:rPr>
        <w:t>.</w:t>
      </w:r>
    </w:p>
    <w:p w:rsidR="00722D68" w:rsidRDefault="00722D68" w:rsidP="005D694A">
      <w:pPr>
        <w:ind w:firstLine="0"/>
        <w:jc w:val="both"/>
        <w:rPr>
          <w:rFonts w:cs="Times New Roman"/>
          <w:b/>
          <w:color w:val="000000" w:themeColor="text1"/>
        </w:rPr>
      </w:pPr>
    </w:p>
    <w:p w:rsidR="00D458F6" w:rsidRDefault="00D458F6" w:rsidP="005D694A">
      <w:pPr>
        <w:ind w:firstLine="0"/>
        <w:jc w:val="both"/>
        <w:rPr>
          <w:rFonts w:cs="Times New Roman"/>
          <w:color w:val="000000" w:themeColor="text1"/>
        </w:rPr>
      </w:pPr>
      <w:r w:rsidRPr="006235DB">
        <w:rPr>
          <w:rFonts w:cs="Times New Roman"/>
          <w:b/>
          <w:color w:val="000000" w:themeColor="text1"/>
        </w:rPr>
        <w:t>ZOCP</w:t>
      </w:r>
      <w:r>
        <w:rPr>
          <w:rFonts w:cs="Times New Roman"/>
          <w:b/>
          <w:color w:val="000000" w:themeColor="text1"/>
        </w:rPr>
        <w:t xml:space="preserve"> - </w:t>
      </w:r>
      <w:r w:rsidRPr="006235DB">
        <w:rPr>
          <w:rFonts w:cs="Times New Roman"/>
          <w:color w:val="000000" w:themeColor="text1"/>
        </w:rPr>
        <w:t>zákon č.</w:t>
      </w:r>
      <w:r w:rsidRPr="006235DB">
        <w:rPr>
          <w:rFonts w:cs="Times New Roman"/>
          <w:b/>
          <w:color w:val="000000" w:themeColor="text1"/>
        </w:rPr>
        <w:t xml:space="preserve"> </w:t>
      </w:r>
      <w:r w:rsidRPr="006235DB">
        <w:rPr>
          <w:rFonts w:cs="Times New Roman"/>
          <w:color w:val="000000" w:themeColor="text1"/>
        </w:rPr>
        <w:t>566/2001 Z. z. o cenných papieroch a investičných službách a o zmene a doplnení niektorých zákonov v znení neskorších predpisov</w:t>
      </w:r>
      <w:r>
        <w:rPr>
          <w:rFonts w:cs="Times New Roman"/>
          <w:color w:val="000000" w:themeColor="text1"/>
        </w:rPr>
        <w:t>.</w:t>
      </w:r>
    </w:p>
    <w:p w:rsidR="00EE738B" w:rsidRPr="006235DB" w:rsidRDefault="00EE738B" w:rsidP="005D694A">
      <w:pPr>
        <w:ind w:firstLine="0"/>
        <w:jc w:val="both"/>
        <w:rPr>
          <w:rFonts w:cs="Times New Roman"/>
          <w:color w:val="000000" w:themeColor="text1"/>
        </w:rPr>
      </w:pPr>
    </w:p>
    <w:p w:rsidR="007529CD" w:rsidRPr="007D3BC1" w:rsidRDefault="001E31AB" w:rsidP="006404F8">
      <w:pPr>
        <w:pStyle w:val="Nadpis2"/>
        <w:numPr>
          <w:ilvl w:val="0"/>
          <w:numId w:val="13"/>
        </w:numPr>
        <w:ind w:left="567" w:hanging="567"/>
      </w:pPr>
      <w:r w:rsidRPr="007D3BC1">
        <w:t>ÚVODNÉ USTANOVENIA</w:t>
      </w:r>
    </w:p>
    <w:p w:rsidR="005D694A" w:rsidRPr="006235DB" w:rsidRDefault="005D694A" w:rsidP="005D694A">
      <w:pPr>
        <w:pStyle w:val="Odsekzoznamu"/>
        <w:ind w:left="360" w:firstLine="0"/>
        <w:rPr>
          <w:rFonts w:cs="Times New Roman"/>
          <w:b/>
          <w:color w:val="000000" w:themeColor="text1"/>
        </w:rPr>
      </w:pPr>
    </w:p>
    <w:p w:rsidR="002B592D" w:rsidRPr="006235DB" w:rsidRDefault="004C5080" w:rsidP="00006276">
      <w:pPr>
        <w:pStyle w:val="Odsekzoznamu"/>
        <w:numPr>
          <w:ilvl w:val="0"/>
          <w:numId w:val="1"/>
        </w:numPr>
        <w:ind w:left="567" w:hanging="567"/>
        <w:jc w:val="both"/>
        <w:rPr>
          <w:rFonts w:cs="Times New Roman"/>
          <w:b/>
        </w:rPr>
      </w:pPr>
      <w:r w:rsidRPr="006235DB">
        <w:rPr>
          <w:rFonts w:cs="Times New Roman"/>
        </w:rPr>
        <w:t>Centrálny depozitár cenných papierov SR, a.s., IČO: 31 338 976, so sídlom 29. augusta 1/A, 814 80 Bratislava, zapísaný v Obchodnom registri Okresného súdu Bratislava I</w:t>
      </w:r>
      <w:r w:rsidR="00531A9C">
        <w:rPr>
          <w:rFonts w:cs="Times New Roman"/>
        </w:rPr>
        <w:t>, oddiel: Sa, vložka č. 493/B</w:t>
      </w:r>
      <w:r w:rsidR="003A4F8F">
        <w:rPr>
          <w:rFonts w:cs="Times New Roman"/>
        </w:rPr>
        <w:t> vydáva tieto O</w:t>
      </w:r>
      <w:r w:rsidRPr="006235DB">
        <w:rPr>
          <w:rFonts w:cs="Times New Roman"/>
        </w:rPr>
        <w:t xml:space="preserve">bchodné podmienky </w:t>
      </w:r>
      <w:r w:rsidR="000D3047" w:rsidRPr="006235DB">
        <w:rPr>
          <w:rFonts w:cs="Times New Roman"/>
        </w:rPr>
        <w:t>v  zmysle § 273 Obchodného zákonníka ako obchodné podmienky, ktoré sa v</w:t>
      </w:r>
      <w:r w:rsidRPr="006235DB">
        <w:rPr>
          <w:rFonts w:cs="Times New Roman"/>
        </w:rPr>
        <w:t>zťahujú na právne vzťahy medzi C</w:t>
      </w:r>
      <w:r w:rsidR="000D3047" w:rsidRPr="006235DB">
        <w:rPr>
          <w:rFonts w:cs="Times New Roman"/>
        </w:rPr>
        <w:t>entrálnym depozitárom a</w:t>
      </w:r>
      <w:r w:rsidR="00490AB4">
        <w:rPr>
          <w:rFonts w:cs="Times New Roman"/>
        </w:rPr>
        <w:t> </w:t>
      </w:r>
      <w:r w:rsidR="00871251" w:rsidRPr="006235DB">
        <w:rPr>
          <w:rFonts w:cs="Times New Roman"/>
        </w:rPr>
        <w:t>emitentom</w:t>
      </w:r>
      <w:r w:rsidR="00490AB4">
        <w:rPr>
          <w:rFonts w:cs="Times New Roman"/>
        </w:rPr>
        <w:t>,</w:t>
      </w:r>
      <w:r w:rsidR="000D3047" w:rsidRPr="006235DB">
        <w:rPr>
          <w:rFonts w:cs="Times New Roman"/>
        </w:rPr>
        <w:t xml:space="preserve"> vyplývajúce zo</w:t>
      </w:r>
      <w:r w:rsidR="00180A6A" w:rsidRPr="006235DB">
        <w:rPr>
          <w:rFonts w:cs="Times New Roman"/>
        </w:rPr>
        <w:t xml:space="preserve"> Zmluvy o</w:t>
      </w:r>
      <w:r w:rsidR="00602710">
        <w:rPr>
          <w:rFonts w:cs="Times New Roman"/>
        </w:rPr>
        <w:t> vedení zoznamu akcionárov</w:t>
      </w:r>
      <w:r w:rsidR="00180A6A" w:rsidRPr="006235DB">
        <w:rPr>
          <w:rFonts w:cs="Times New Roman"/>
        </w:rPr>
        <w:t xml:space="preserve"> </w:t>
      </w:r>
      <w:r w:rsidRPr="006235DB">
        <w:rPr>
          <w:rFonts w:cs="Times New Roman"/>
        </w:rPr>
        <w:t>uzavretej medzi Centrálnym depozitárom a emitentom, pričom sú neoddeliteľnou súčasťou uvedenej zmluvy určujúcou časť jej obsahu.</w:t>
      </w:r>
    </w:p>
    <w:p w:rsidR="00180A6A" w:rsidRPr="006235DB" w:rsidRDefault="00073EA2" w:rsidP="00006276">
      <w:pPr>
        <w:pStyle w:val="Odsekzoznamu"/>
        <w:numPr>
          <w:ilvl w:val="0"/>
          <w:numId w:val="1"/>
        </w:numPr>
        <w:ind w:left="567" w:hanging="567"/>
        <w:jc w:val="both"/>
        <w:rPr>
          <w:rFonts w:cs="Times New Roman"/>
          <w:b/>
        </w:rPr>
      </w:pPr>
      <w:r w:rsidRPr="006235DB">
        <w:rPr>
          <w:rFonts w:cs="Times New Roman"/>
        </w:rPr>
        <w:t>Obchodné podmien</w:t>
      </w:r>
      <w:r w:rsidR="00180A6A" w:rsidRPr="006235DB">
        <w:rPr>
          <w:rFonts w:cs="Times New Roman"/>
        </w:rPr>
        <w:t>ky upravujú práva a povinnosti C</w:t>
      </w:r>
      <w:r w:rsidRPr="006235DB">
        <w:rPr>
          <w:rFonts w:cs="Times New Roman"/>
        </w:rPr>
        <w:t>entrálneho depozitára a</w:t>
      </w:r>
      <w:r w:rsidR="00180A6A" w:rsidRPr="006235DB">
        <w:rPr>
          <w:rFonts w:cs="Times New Roman"/>
        </w:rPr>
        <w:t> </w:t>
      </w:r>
      <w:r w:rsidR="00871251" w:rsidRPr="006235DB">
        <w:rPr>
          <w:rFonts w:cs="Times New Roman"/>
        </w:rPr>
        <w:t>emitenta</w:t>
      </w:r>
      <w:r w:rsidR="00180A6A" w:rsidRPr="006235DB">
        <w:rPr>
          <w:rFonts w:cs="Times New Roman"/>
        </w:rPr>
        <w:t xml:space="preserve"> v súvislosti so Zmluvou o</w:t>
      </w:r>
      <w:r w:rsidR="00602710">
        <w:rPr>
          <w:rFonts w:cs="Times New Roman"/>
        </w:rPr>
        <w:t> vedení zoznamu akcionárov</w:t>
      </w:r>
      <w:r w:rsidR="00180A6A" w:rsidRPr="006235DB">
        <w:rPr>
          <w:rFonts w:cs="Times New Roman"/>
        </w:rPr>
        <w:t>, a to</w:t>
      </w:r>
      <w:r w:rsidRPr="006235DB">
        <w:rPr>
          <w:rFonts w:cs="Times New Roman"/>
        </w:rPr>
        <w:t xml:space="preserve"> </w:t>
      </w:r>
      <w:r w:rsidR="00495AA6" w:rsidRPr="006235DB">
        <w:rPr>
          <w:rFonts w:cs="Times New Roman"/>
        </w:rPr>
        <w:t xml:space="preserve">najmä </w:t>
      </w:r>
      <w:r w:rsidR="00180A6A" w:rsidRPr="006235DB">
        <w:rPr>
          <w:rFonts w:cs="Times New Roman"/>
        </w:rPr>
        <w:t>týkajúce sa</w:t>
      </w:r>
      <w:r w:rsidRPr="006235DB">
        <w:rPr>
          <w:rFonts w:cs="Times New Roman"/>
        </w:rPr>
        <w:t xml:space="preserve"> </w:t>
      </w:r>
      <w:r w:rsidR="00602710">
        <w:rPr>
          <w:rFonts w:cs="Times New Roman"/>
        </w:rPr>
        <w:t>vedenia zoznamu akcionárov listinných akcií na meno podľa Obchodného zákonníka a ZOCP</w:t>
      </w:r>
      <w:r w:rsidR="00495AA6" w:rsidRPr="006235DB">
        <w:rPr>
          <w:rFonts w:cs="Times New Roman"/>
        </w:rPr>
        <w:t xml:space="preserve">, </w:t>
      </w:r>
      <w:r w:rsidR="00180A6A" w:rsidRPr="006235DB">
        <w:rPr>
          <w:rFonts w:cs="Times New Roman"/>
        </w:rPr>
        <w:t>a poskytovania</w:t>
      </w:r>
      <w:r w:rsidRPr="006235DB">
        <w:rPr>
          <w:rFonts w:cs="Times New Roman"/>
        </w:rPr>
        <w:t xml:space="preserve"> ďalších služieb pre </w:t>
      </w:r>
      <w:r w:rsidR="00871251" w:rsidRPr="006235DB">
        <w:rPr>
          <w:rFonts w:cs="Times New Roman"/>
        </w:rPr>
        <w:t>emitent</w:t>
      </w:r>
      <w:r w:rsidR="00180A6A" w:rsidRPr="006235DB">
        <w:rPr>
          <w:rFonts w:cs="Times New Roman"/>
        </w:rPr>
        <w:t>a</w:t>
      </w:r>
      <w:r w:rsidRPr="006235DB">
        <w:rPr>
          <w:rFonts w:cs="Times New Roman"/>
        </w:rPr>
        <w:t xml:space="preserve"> </w:t>
      </w:r>
      <w:r w:rsidR="00180A6A" w:rsidRPr="006235DB">
        <w:rPr>
          <w:rFonts w:cs="Times New Roman"/>
        </w:rPr>
        <w:t>zo strany Centrálneho depozitára</w:t>
      </w:r>
      <w:r w:rsidRPr="006235DB">
        <w:rPr>
          <w:rFonts w:cs="Times New Roman"/>
        </w:rPr>
        <w:t xml:space="preserve"> na základe alebo</w:t>
      </w:r>
      <w:r w:rsidR="00180A6A" w:rsidRPr="006235DB">
        <w:rPr>
          <w:rFonts w:cs="Times New Roman"/>
        </w:rPr>
        <w:t xml:space="preserve"> v súvislosti so Z</w:t>
      </w:r>
      <w:r w:rsidRPr="006235DB">
        <w:rPr>
          <w:rFonts w:cs="Times New Roman"/>
        </w:rPr>
        <w:t>mluvou</w:t>
      </w:r>
      <w:r w:rsidR="00871251" w:rsidRPr="006235DB">
        <w:rPr>
          <w:rFonts w:cs="Times New Roman"/>
        </w:rPr>
        <w:t xml:space="preserve"> </w:t>
      </w:r>
      <w:r w:rsidR="00180A6A" w:rsidRPr="006235DB">
        <w:rPr>
          <w:rFonts w:cs="Times New Roman"/>
        </w:rPr>
        <w:t>o</w:t>
      </w:r>
      <w:r w:rsidR="00602710">
        <w:rPr>
          <w:rFonts w:cs="Times New Roman"/>
        </w:rPr>
        <w:t> vedení zoznamu akcionárov</w:t>
      </w:r>
      <w:r w:rsidR="00180A6A" w:rsidRPr="006235DB">
        <w:rPr>
          <w:rFonts w:cs="Times New Roman"/>
        </w:rPr>
        <w:t>,</w:t>
      </w:r>
      <w:r w:rsidR="00667985" w:rsidRPr="006235DB">
        <w:rPr>
          <w:rFonts w:cs="Times New Roman"/>
        </w:rPr>
        <w:t xml:space="preserve"> ako napr. vykonávania</w:t>
      </w:r>
      <w:r w:rsidR="00180A6A" w:rsidRPr="006235DB">
        <w:rPr>
          <w:rFonts w:cs="Times New Roman"/>
        </w:rPr>
        <w:t xml:space="preserve"> zmien v údajoch o emitentovi alebo </w:t>
      </w:r>
      <w:r w:rsidR="00602710">
        <w:rPr>
          <w:rFonts w:cs="Times New Roman"/>
        </w:rPr>
        <w:t>akcionároch</w:t>
      </w:r>
      <w:r w:rsidR="00667985" w:rsidRPr="006235DB">
        <w:rPr>
          <w:rFonts w:cs="Times New Roman"/>
        </w:rPr>
        <w:t xml:space="preserve">. Obchodné podmienky ďalej upravujú ďalšie súvisiace </w:t>
      </w:r>
      <w:r w:rsidR="003010ED">
        <w:rPr>
          <w:rFonts w:cs="Times New Roman"/>
        </w:rPr>
        <w:t xml:space="preserve">práva a </w:t>
      </w:r>
      <w:r w:rsidR="003010ED">
        <w:rPr>
          <w:rFonts w:cs="Times New Roman"/>
        </w:rPr>
        <w:lastRenderedPageBreak/>
        <w:t>povinnosti</w:t>
      </w:r>
      <w:r w:rsidR="00667985" w:rsidRPr="006235DB">
        <w:rPr>
          <w:rFonts w:cs="Times New Roman"/>
        </w:rPr>
        <w:t xml:space="preserve"> vo</w:t>
      </w:r>
      <w:r w:rsidR="00D26D52">
        <w:rPr>
          <w:rFonts w:cs="Times New Roman"/>
        </w:rPr>
        <w:t xml:space="preserve"> vzťahu k Zmluve o</w:t>
      </w:r>
      <w:r w:rsidR="00602710">
        <w:rPr>
          <w:rFonts w:cs="Times New Roman"/>
        </w:rPr>
        <w:t> vedení zoznamu akcionárov</w:t>
      </w:r>
      <w:r w:rsidR="00667985" w:rsidRPr="006235DB">
        <w:rPr>
          <w:rFonts w:cs="Times New Roman"/>
        </w:rPr>
        <w:t>.</w:t>
      </w:r>
      <w:r w:rsidR="003010ED">
        <w:rPr>
          <w:rFonts w:cs="Times New Roman"/>
        </w:rPr>
        <w:t xml:space="preserve"> Obchodné podmienky sa vzťahujú aj na predkladanie požiadaviek na služby v zmysle týchto Obchodných podmienok.</w:t>
      </w:r>
    </w:p>
    <w:p w:rsidR="004B1838" w:rsidRPr="00E525A9" w:rsidRDefault="007529CD" w:rsidP="00E525A9">
      <w:pPr>
        <w:pStyle w:val="Odsekzoznamu"/>
        <w:numPr>
          <w:ilvl w:val="0"/>
          <w:numId w:val="1"/>
        </w:numPr>
        <w:ind w:left="567" w:hanging="567"/>
        <w:jc w:val="both"/>
        <w:rPr>
          <w:rFonts w:cs="Times New Roman"/>
          <w:b/>
        </w:rPr>
      </w:pPr>
      <w:r w:rsidRPr="006235DB">
        <w:rPr>
          <w:rFonts w:cs="Times New Roman"/>
        </w:rPr>
        <w:t>O</w:t>
      </w:r>
      <w:r w:rsidR="00C16DBC">
        <w:rPr>
          <w:rFonts w:cs="Times New Roman"/>
        </w:rPr>
        <w:t xml:space="preserve">bchodné podmienky sú záväzné </w:t>
      </w:r>
      <w:r w:rsidRPr="006235DB">
        <w:rPr>
          <w:rFonts w:cs="Times New Roman"/>
        </w:rPr>
        <w:t>pre</w:t>
      </w:r>
      <w:r w:rsidR="00C16DBC">
        <w:rPr>
          <w:rFonts w:cs="Times New Roman"/>
        </w:rPr>
        <w:t xml:space="preserve"> emitenta a</w:t>
      </w:r>
      <w:r w:rsidRPr="006235DB">
        <w:rPr>
          <w:rFonts w:cs="Times New Roman"/>
        </w:rPr>
        <w:t xml:space="preserve"> osoby konajúce v</w:t>
      </w:r>
      <w:r w:rsidR="00C16DBC">
        <w:rPr>
          <w:rFonts w:cs="Times New Roman"/>
        </w:rPr>
        <w:t xml:space="preserve"> jeho </w:t>
      </w:r>
      <w:r w:rsidRPr="006235DB">
        <w:rPr>
          <w:rFonts w:cs="Times New Roman"/>
        </w:rPr>
        <w:t>mene</w:t>
      </w:r>
      <w:r w:rsidR="004B1838" w:rsidRPr="006235DB">
        <w:rPr>
          <w:rFonts w:cs="Times New Roman"/>
        </w:rPr>
        <w:t xml:space="preserve"> alebo na</w:t>
      </w:r>
      <w:r w:rsidR="00A50813">
        <w:rPr>
          <w:rFonts w:cs="Times New Roman"/>
        </w:rPr>
        <w:t xml:space="preserve"> jeho účet</w:t>
      </w:r>
      <w:r w:rsidR="001E5A1F">
        <w:rPr>
          <w:rFonts w:cs="Times New Roman"/>
        </w:rPr>
        <w:t>,</w:t>
      </w:r>
      <w:r w:rsidR="00A50813">
        <w:rPr>
          <w:rFonts w:cs="Times New Roman"/>
        </w:rPr>
        <w:t xml:space="preserve"> ak využívajú služby C</w:t>
      </w:r>
      <w:r w:rsidR="00C16DBC">
        <w:rPr>
          <w:rFonts w:cs="Times New Roman"/>
        </w:rPr>
        <w:t>entrálneho depozitára</w:t>
      </w:r>
      <w:r w:rsidR="001E03B6">
        <w:rPr>
          <w:rFonts w:cs="Times New Roman"/>
        </w:rPr>
        <w:t xml:space="preserve"> a pre Centrálny depozitár</w:t>
      </w:r>
      <w:r w:rsidR="00C16DBC">
        <w:rPr>
          <w:rFonts w:cs="Times New Roman"/>
        </w:rPr>
        <w:t>.</w:t>
      </w:r>
      <w:r w:rsidR="00E525A9">
        <w:rPr>
          <w:rFonts w:cs="Times New Roman"/>
        </w:rPr>
        <w:t xml:space="preserve"> </w:t>
      </w:r>
      <w:r w:rsidR="00E525A9" w:rsidRPr="006235DB">
        <w:rPr>
          <w:rFonts w:cs="Times New Roman"/>
        </w:rPr>
        <w:t>Emitent</w:t>
      </w:r>
      <w:r w:rsidR="00E525A9">
        <w:rPr>
          <w:rFonts w:cs="Times New Roman"/>
        </w:rPr>
        <w:t xml:space="preserve"> </w:t>
      </w:r>
      <w:r w:rsidR="00E525A9" w:rsidRPr="006235DB">
        <w:rPr>
          <w:rFonts w:cs="Times New Roman"/>
        </w:rPr>
        <w:t xml:space="preserve">sa </w:t>
      </w:r>
      <w:r w:rsidR="00E525A9">
        <w:rPr>
          <w:rFonts w:cs="Times New Roman"/>
        </w:rPr>
        <w:t>zaväzuje dodržiavať ustanovenia</w:t>
      </w:r>
      <w:r w:rsidR="00E525A9" w:rsidRPr="006235DB">
        <w:rPr>
          <w:rFonts w:cs="Times New Roman"/>
        </w:rPr>
        <w:t xml:space="preserve"> Prevádzkového poriadku, Cenník</w:t>
      </w:r>
      <w:r w:rsidR="00E525A9">
        <w:rPr>
          <w:rFonts w:cs="Times New Roman"/>
        </w:rPr>
        <w:t>a</w:t>
      </w:r>
      <w:r w:rsidR="00E525A9" w:rsidRPr="006235DB">
        <w:rPr>
          <w:rFonts w:cs="Times New Roman"/>
        </w:rPr>
        <w:t xml:space="preserve"> </w:t>
      </w:r>
      <w:r w:rsidR="00E525A9">
        <w:rPr>
          <w:rFonts w:cs="Times New Roman"/>
        </w:rPr>
        <w:t xml:space="preserve"> </w:t>
      </w:r>
      <w:r w:rsidR="00E525A9" w:rsidRPr="006235DB">
        <w:rPr>
          <w:rFonts w:cs="Times New Roman"/>
        </w:rPr>
        <w:t>a </w:t>
      </w:r>
      <w:r w:rsidR="00E525A9">
        <w:rPr>
          <w:rFonts w:cs="Times New Roman"/>
        </w:rPr>
        <w:t xml:space="preserve"> O</w:t>
      </w:r>
      <w:r w:rsidR="00E525A9" w:rsidRPr="006235DB">
        <w:rPr>
          <w:rFonts w:cs="Times New Roman"/>
        </w:rPr>
        <w:t>bchodný</w:t>
      </w:r>
      <w:r w:rsidR="00E525A9">
        <w:rPr>
          <w:rFonts w:cs="Times New Roman"/>
        </w:rPr>
        <w:t>ch</w:t>
      </w:r>
      <w:r w:rsidR="00E525A9" w:rsidRPr="006235DB">
        <w:rPr>
          <w:rFonts w:cs="Times New Roman"/>
        </w:rPr>
        <w:t xml:space="preserve"> podmien</w:t>
      </w:r>
      <w:r w:rsidR="00E525A9">
        <w:rPr>
          <w:rFonts w:cs="Times New Roman"/>
        </w:rPr>
        <w:t>ok</w:t>
      </w:r>
      <w:r w:rsidR="00E525A9" w:rsidRPr="006235DB">
        <w:rPr>
          <w:rFonts w:cs="Times New Roman"/>
        </w:rPr>
        <w:t>.</w:t>
      </w:r>
    </w:p>
    <w:p w:rsidR="004B1838" w:rsidRPr="006235DB" w:rsidRDefault="00567F81" w:rsidP="00006276">
      <w:pPr>
        <w:pStyle w:val="Odsekzoznamu"/>
        <w:numPr>
          <w:ilvl w:val="0"/>
          <w:numId w:val="1"/>
        </w:numPr>
        <w:ind w:left="567" w:hanging="567"/>
        <w:jc w:val="both"/>
        <w:rPr>
          <w:rFonts w:cs="Times New Roman"/>
          <w:b/>
        </w:rPr>
      </w:pPr>
      <w:r>
        <w:rPr>
          <w:rFonts w:cs="Times New Roman"/>
        </w:rPr>
        <w:t>Ak sa C</w:t>
      </w:r>
      <w:r w:rsidR="004B1838" w:rsidRPr="006235DB">
        <w:rPr>
          <w:rFonts w:cs="Times New Roman"/>
        </w:rPr>
        <w:t>entrálny depozitár a </w:t>
      </w:r>
      <w:r w:rsidR="00871251" w:rsidRPr="006235DB">
        <w:rPr>
          <w:rFonts w:cs="Times New Roman"/>
        </w:rPr>
        <w:t>emitent</w:t>
      </w:r>
      <w:r w:rsidR="004B1838" w:rsidRPr="006235DB">
        <w:rPr>
          <w:rFonts w:cs="Times New Roman"/>
        </w:rPr>
        <w:t xml:space="preserve"> nedohodnú inak, riadia sa vzťahy medzi nimi právnym poriadkom Slovenskej republiky.</w:t>
      </w:r>
    </w:p>
    <w:p w:rsidR="004972DE" w:rsidRPr="006235DB" w:rsidRDefault="009C03BC" w:rsidP="00006276">
      <w:pPr>
        <w:pStyle w:val="Odsekzoznamu"/>
        <w:numPr>
          <w:ilvl w:val="0"/>
          <w:numId w:val="1"/>
        </w:numPr>
        <w:ind w:left="567" w:hanging="567"/>
        <w:jc w:val="both"/>
        <w:rPr>
          <w:rFonts w:cs="Times New Roman"/>
          <w:b/>
        </w:rPr>
      </w:pPr>
      <w:r w:rsidRPr="006235DB">
        <w:rPr>
          <w:rFonts w:cs="Times New Roman"/>
        </w:rPr>
        <w:t>Odchylné dojednania v Z</w:t>
      </w:r>
      <w:r w:rsidR="000F230C" w:rsidRPr="006235DB">
        <w:rPr>
          <w:rFonts w:cs="Times New Roman"/>
        </w:rPr>
        <w:t xml:space="preserve">mluve </w:t>
      </w:r>
      <w:r w:rsidR="00D26D52">
        <w:rPr>
          <w:rFonts w:cs="Times New Roman"/>
        </w:rPr>
        <w:t>o</w:t>
      </w:r>
      <w:r w:rsidR="00602710">
        <w:rPr>
          <w:rFonts w:cs="Times New Roman"/>
        </w:rPr>
        <w:t> vedení zoznamu akcionárov</w:t>
      </w:r>
      <w:r w:rsidRPr="006235DB">
        <w:rPr>
          <w:rFonts w:cs="Times New Roman"/>
        </w:rPr>
        <w:t xml:space="preserve"> </w:t>
      </w:r>
      <w:r w:rsidR="000F230C" w:rsidRPr="006235DB">
        <w:rPr>
          <w:rFonts w:cs="Times New Roman"/>
        </w:rPr>
        <w:t>majú pred</w:t>
      </w:r>
      <w:r w:rsidR="00567F81">
        <w:rPr>
          <w:rFonts w:cs="Times New Roman"/>
        </w:rPr>
        <w:t>nosť pred ustanoveniami O</w:t>
      </w:r>
      <w:r w:rsidR="000F230C" w:rsidRPr="006235DB">
        <w:rPr>
          <w:rFonts w:cs="Times New Roman"/>
        </w:rPr>
        <w:t xml:space="preserve">bchodných podmienok. </w:t>
      </w:r>
      <w:r w:rsidR="004B1838" w:rsidRPr="006235DB">
        <w:rPr>
          <w:rFonts w:cs="Times New Roman"/>
        </w:rPr>
        <w:t>V</w:t>
      </w:r>
      <w:r w:rsidR="00567F81">
        <w:rPr>
          <w:rFonts w:cs="Times New Roman"/>
        </w:rPr>
        <w:t>ybrané práva a povinnosti C</w:t>
      </w:r>
      <w:r w:rsidR="004B1838" w:rsidRPr="006235DB">
        <w:rPr>
          <w:rFonts w:cs="Times New Roman"/>
        </w:rPr>
        <w:t>entrálneho depozitára a </w:t>
      </w:r>
      <w:r w:rsidR="00871251" w:rsidRPr="006235DB">
        <w:rPr>
          <w:rFonts w:cs="Times New Roman"/>
        </w:rPr>
        <w:t>emitenta</w:t>
      </w:r>
      <w:r w:rsidR="004B1838" w:rsidRPr="006235DB">
        <w:rPr>
          <w:rFonts w:cs="Times New Roman"/>
        </w:rPr>
        <w:t xml:space="preserve"> sú ďalej upravené </w:t>
      </w:r>
      <w:r w:rsidR="00CB6295">
        <w:rPr>
          <w:rFonts w:cs="Times New Roman"/>
        </w:rPr>
        <w:t xml:space="preserve">aj </w:t>
      </w:r>
      <w:r w:rsidR="004B1838" w:rsidRPr="006235DB">
        <w:rPr>
          <w:rFonts w:cs="Times New Roman"/>
        </w:rPr>
        <w:t>v Prevádzkovom poriadku</w:t>
      </w:r>
      <w:r w:rsidR="0072563A" w:rsidRPr="006235DB">
        <w:rPr>
          <w:rFonts w:cs="Times New Roman"/>
        </w:rPr>
        <w:t>.</w:t>
      </w:r>
      <w:r w:rsidR="00285032" w:rsidRPr="006235DB">
        <w:rPr>
          <w:rFonts w:cs="Times New Roman"/>
        </w:rPr>
        <w:t xml:space="preserve"> </w:t>
      </w:r>
    </w:p>
    <w:p w:rsidR="006A7DF0" w:rsidRPr="006235DB" w:rsidRDefault="004972DE" w:rsidP="00006276">
      <w:pPr>
        <w:pStyle w:val="Odsekzoznamu"/>
        <w:numPr>
          <w:ilvl w:val="0"/>
          <w:numId w:val="1"/>
        </w:numPr>
        <w:ind w:left="567" w:hanging="567"/>
        <w:jc w:val="both"/>
        <w:rPr>
          <w:rFonts w:cs="Times New Roman"/>
          <w:b/>
        </w:rPr>
      </w:pPr>
      <w:r w:rsidRPr="006235DB">
        <w:rPr>
          <w:rFonts w:cs="Times New Roman"/>
        </w:rPr>
        <w:t xml:space="preserve">Emitent sa zaväzuje dodržiavať Prevádzkový poriadok. </w:t>
      </w:r>
      <w:r w:rsidRPr="006235DB">
        <w:rPr>
          <w:rStyle w:val="ra"/>
          <w:rFonts w:cs="Times New Roman"/>
        </w:rPr>
        <w:t xml:space="preserve">Prevádzkový poriadok je záväzný pre emitenta aj v súlade s § 103 ods. 4 ZOCP. </w:t>
      </w:r>
      <w:r w:rsidRPr="006235DB">
        <w:rPr>
          <w:rFonts w:cs="Times New Roman"/>
        </w:rPr>
        <w:t xml:space="preserve">Prevádzkový poriadok je verejne prístupný v sídle Centrálneho depozitára </w:t>
      </w:r>
      <w:r w:rsidR="00567F81">
        <w:rPr>
          <w:rFonts w:cs="Times New Roman"/>
        </w:rPr>
        <w:t>a zverejnený na webovej stránke</w:t>
      </w:r>
      <w:r w:rsidRPr="006235DB">
        <w:rPr>
          <w:rFonts w:cs="Times New Roman"/>
        </w:rPr>
        <w:t xml:space="preserve"> </w:t>
      </w:r>
      <w:hyperlink r:id="rId14" w:history="1">
        <w:r w:rsidRPr="006235DB">
          <w:rPr>
            <w:rStyle w:val="Hypertextovprepojenie"/>
            <w:rFonts w:cs="Times New Roman"/>
            <w:color w:val="auto"/>
            <w:u w:val="none"/>
          </w:rPr>
          <w:t>www.cdcp.sk</w:t>
        </w:r>
      </w:hyperlink>
      <w:r w:rsidRPr="006235DB">
        <w:rPr>
          <w:rFonts w:cs="Times New Roman"/>
        </w:rPr>
        <w:t>. Centrálny depozitár je oprávnený jednostranne meniť Prevádzkový poriadok, a to spôsobom v ňom uvedeným. Emitent súhlasí s takýmto vykonávaním zmien Prevádzkového poriadku.</w:t>
      </w:r>
      <w:r w:rsidR="00AC0E39" w:rsidRPr="006235DB">
        <w:rPr>
          <w:rFonts w:cs="Times New Roman"/>
        </w:rPr>
        <w:t xml:space="preserve"> </w:t>
      </w:r>
      <w:r w:rsidR="000F230C" w:rsidRPr="006235DB">
        <w:rPr>
          <w:rFonts w:cs="Times New Roman"/>
        </w:rPr>
        <w:t>Ustanovenia Prevádzkového poriadku ma</w:t>
      </w:r>
      <w:r w:rsidR="009C03BC" w:rsidRPr="006235DB">
        <w:rPr>
          <w:rFonts w:cs="Times New Roman"/>
        </w:rPr>
        <w:t>jú prednosť pred ustanoveniami Z</w:t>
      </w:r>
      <w:r w:rsidR="000F230C" w:rsidRPr="006235DB">
        <w:rPr>
          <w:rFonts w:cs="Times New Roman"/>
        </w:rPr>
        <w:t xml:space="preserve">mluvy </w:t>
      </w:r>
      <w:r w:rsidR="00632B52">
        <w:rPr>
          <w:rFonts w:cs="Times New Roman"/>
        </w:rPr>
        <w:t>o</w:t>
      </w:r>
      <w:r w:rsidR="00602710">
        <w:rPr>
          <w:rFonts w:cs="Times New Roman"/>
        </w:rPr>
        <w:t xml:space="preserve"> vedení zoznamu akcionárov </w:t>
      </w:r>
      <w:r w:rsidR="00A50813">
        <w:rPr>
          <w:rFonts w:cs="Times New Roman"/>
        </w:rPr>
        <w:t>a</w:t>
      </w:r>
      <w:r w:rsidR="00567F81">
        <w:rPr>
          <w:rFonts w:cs="Times New Roman"/>
        </w:rPr>
        <w:t xml:space="preserve"> O</w:t>
      </w:r>
      <w:r w:rsidR="000F230C" w:rsidRPr="006235DB">
        <w:rPr>
          <w:rFonts w:cs="Times New Roman"/>
        </w:rPr>
        <w:t>bc</w:t>
      </w:r>
      <w:r w:rsidR="009C03BC" w:rsidRPr="006235DB">
        <w:rPr>
          <w:rFonts w:cs="Times New Roman"/>
        </w:rPr>
        <w:t>hodných podmienok. Ustanovenia Z</w:t>
      </w:r>
      <w:r w:rsidR="000F230C" w:rsidRPr="006235DB">
        <w:rPr>
          <w:rFonts w:cs="Times New Roman"/>
        </w:rPr>
        <w:t xml:space="preserve">mluvy </w:t>
      </w:r>
      <w:r w:rsidR="009C03BC" w:rsidRPr="006235DB">
        <w:rPr>
          <w:rFonts w:cs="Times New Roman"/>
        </w:rPr>
        <w:t>o</w:t>
      </w:r>
      <w:r w:rsidR="00602710">
        <w:rPr>
          <w:rFonts w:cs="Times New Roman"/>
        </w:rPr>
        <w:t> vedení zoznamu akcionárov</w:t>
      </w:r>
      <w:r w:rsidR="009C03BC" w:rsidRPr="006235DB">
        <w:rPr>
          <w:rFonts w:cs="Times New Roman"/>
        </w:rPr>
        <w:t xml:space="preserve"> </w:t>
      </w:r>
      <w:r w:rsidR="000F230C" w:rsidRPr="006235DB">
        <w:rPr>
          <w:rFonts w:cs="Times New Roman"/>
        </w:rPr>
        <w:t xml:space="preserve">a </w:t>
      </w:r>
      <w:r w:rsidR="00567F81">
        <w:rPr>
          <w:rFonts w:cs="Times New Roman"/>
        </w:rPr>
        <w:t>O</w:t>
      </w:r>
      <w:r w:rsidR="000F230C" w:rsidRPr="006235DB">
        <w:rPr>
          <w:rFonts w:cs="Times New Roman"/>
        </w:rPr>
        <w:t xml:space="preserve">bchodných podmienok, ktoré sa v budúcnosti dostanú do rozporu s Prevádzkovým poriadkom v dôsledku jeho zmien, strácajú platnosť a účinnosť dňom </w:t>
      </w:r>
      <w:r w:rsidR="00871251" w:rsidRPr="006235DB">
        <w:rPr>
          <w:rFonts w:cs="Times New Roman"/>
        </w:rPr>
        <w:t>nadobudnutia účinnosti</w:t>
      </w:r>
      <w:r w:rsidR="000F230C" w:rsidRPr="006235DB">
        <w:rPr>
          <w:rFonts w:cs="Times New Roman"/>
        </w:rPr>
        <w:t xml:space="preserve"> príslušnej zmeny</w:t>
      </w:r>
      <w:r w:rsidR="00567F81">
        <w:rPr>
          <w:rFonts w:cs="Times New Roman"/>
        </w:rPr>
        <w:t>, resp. nového znenia</w:t>
      </w:r>
      <w:r w:rsidR="000F230C" w:rsidRPr="006235DB">
        <w:rPr>
          <w:rFonts w:cs="Times New Roman"/>
        </w:rPr>
        <w:t xml:space="preserve"> Prevádzkového poriadku.</w:t>
      </w:r>
    </w:p>
    <w:p w:rsidR="00556653" w:rsidRPr="006235DB" w:rsidRDefault="00871251" w:rsidP="00006276">
      <w:pPr>
        <w:pStyle w:val="Odsekzoznamu"/>
        <w:numPr>
          <w:ilvl w:val="0"/>
          <w:numId w:val="1"/>
        </w:numPr>
        <w:ind w:left="567" w:hanging="567"/>
        <w:jc w:val="both"/>
        <w:rPr>
          <w:rFonts w:cs="Times New Roman"/>
          <w:b/>
        </w:rPr>
      </w:pPr>
      <w:r w:rsidRPr="006235DB">
        <w:rPr>
          <w:rFonts w:cs="Times New Roman"/>
        </w:rPr>
        <w:t>Emitent</w:t>
      </w:r>
      <w:r w:rsidR="006B0A40" w:rsidRPr="006235DB">
        <w:rPr>
          <w:rFonts w:cs="Times New Roman"/>
        </w:rPr>
        <w:t xml:space="preserve"> súhlasí s tým, že </w:t>
      </w:r>
      <w:r w:rsidR="00567F81">
        <w:rPr>
          <w:rFonts w:cs="Times New Roman"/>
        </w:rPr>
        <w:t>O</w:t>
      </w:r>
      <w:r w:rsidR="00A50813">
        <w:rPr>
          <w:rFonts w:cs="Times New Roman"/>
        </w:rPr>
        <w:t>bchodné podmienky môže C</w:t>
      </w:r>
      <w:r w:rsidR="006B0A40" w:rsidRPr="006235DB">
        <w:rPr>
          <w:rFonts w:cs="Times New Roman"/>
        </w:rPr>
        <w:t xml:space="preserve">entrálny depozitár </w:t>
      </w:r>
      <w:r w:rsidR="006B0A40" w:rsidRPr="006235DB">
        <w:rPr>
          <w:rFonts w:cs="Times New Roman"/>
        </w:rPr>
        <w:lastRenderedPageBreak/>
        <w:t xml:space="preserve">jednostranne meniť, pokiaľ sa </w:t>
      </w:r>
      <w:r w:rsidRPr="006235DB">
        <w:rPr>
          <w:rFonts w:cs="Times New Roman"/>
        </w:rPr>
        <w:t>emitent</w:t>
      </w:r>
      <w:r w:rsidR="00567F81">
        <w:rPr>
          <w:rFonts w:cs="Times New Roman"/>
        </w:rPr>
        <w:t xml:space="preserve"> nedohodne s C</w:t>
      </w:r>
      <w:r w:rsidR="006B0A40" w:rsidRPr="006235DB">
        <w:rPr>
          <w:rFonts w:cs="Times New Roman"/>
        </w:rPr>
        <w:t>ent</w:t>
      </w:r>
      <w:r w:rsidR="000F2925" w:rsidRPr="006235DB">
        <w:rPr>
          <w:rFonts w:cs="Times New Roman"/>
        </w:rPr>
        <w:t>rálnym depozitárom písomne inak.</w:t>
      </w:r>
      <w:r w:rsidR="00285032" w:rsidRPr="006235DB">
        <w:rPr>
          <w:rFonts w:cs="Times New Roman"/>
        </w:rPr>
        <w:t xml:space="preserve"> </w:t>
      </w:r>
      <w:r w:rsidR="000F2925" w:rsidRPr="006235DB">
        <w:rPr>
          <w:rFonts w:cs="Times New Roman"/>
        </w:rPr>
        <w:t>Nadobudnutím účinnosti</w:t>
      </w:r>
      <w:r w:rsidR="00567F81">
        <w:rPr>
          <w:rFonts w:cs="Times New Roman"/>
        </w:rPr>
        <w:t xml:space="preserve"> nového znenia O</w:t>
      </w:r>
      <w:r w:rsidR="006B0A40" w:rsidRPr="006235DB">
        <w:rPr>
          <w:rFonts w:cs="Times New Roman"/>
        </w:rPr>
        <w:t>bchodných podmieno</w:t>
      </w:r>
      <w:r w:rsidR="00567F81">
        <w:rPr>
          <w:rFonts w:cs="Times New Roman"/>
        </w:rPr>
        <w:t>k stráca predchádzajúce znenie O</w:t>
      </w:r>
      <w:r w:rsidR="006B0A40" w:rsidRPr="006235DB">
        <w:rPr>
          <w:rFonts w:cs="Times New Roman"/>
        </w:rPr>
        <w:t xml:space="preserve">bchodných podmienok platnosť </w:t>
      </w:r>
      <w:r w:rsidR="008F4784" w:rsidRPr="006235DB">
        <w:rPr>
          <w:rFonts w:cs="Times New Roman"/>
        </w:rPr>
        <w:t xml:space="preserve">a účinnosť </w:t>
      </w:r>
      <w:r w:rsidR="006B0A40" w:rsidRPr="006235DB">
        <w:rPr>
          <w:rFonts w:cs="Times New Roman"/>
        </w:rPr>
        <w:t xml:space="preserve">a je v plnom </w:t>
      </w:r>
      <w:r w:rsidR="00567F81">
        <w:rPr>
          <w:rFonts w:cs="Times New Roman"/>
        </w:rPr>
        <w:t>rozsahu nahradené novým znením O</w:t>
      </w:r>
      <w:r w:rsidR="006B0A40" w:rsidRPr="006235DB">
        <w:rPr>
          <w:rFonts w:cs="Times New Roman"/>
        </w:rPr>
        <w:t xml:space="preserve">bchodných podmienok. </w:t>
      </w:r>
      <w:r w:rsidRPr="006235DB">
        <w:rPr>
          <w:rFonts w:cs="Times New Roman"/>
        </w:rPr>
        <w:t>Emitent</w:t>
      </w:r>
      <w:r w:rsidR="006B0A40" w:rsidRPr="006235DB">
        <w:rPr>
          <w:rFonts w:cs="Times New Roman"/>
        </w:rPr>
        <w:t xml:space="preserve"> súhlasí s taký</w:t>
      </w:r>
      <w:r w:rsidR="00567F81">
        <w:rPr>
          <w:rFonts w:cs="Times New Roman"/>
        </w:rPr>
        <w:t>mto spôsobom vykonávania zmien O</w:t>
      </w:r>
      <w:r w:rsidR="006B0A40" w:rsidRPr="006235DB">
        <w:rPr>
          <w:rFonts w:cs="Times New Roman"/>
        </w:rPr>
        <w:t xml:space="preserve">bchodných podmienok. </w:t>
      </w:r>
      <w:r w:rsidR="00632B52">
        <w:rPr>
          <w:rFonts w:cs="Times New Roman"/>
        </w:rPr>
        <w:t>Zmenu Obchodných</w:t>
      </w:r>
      <w:r w:rsidR="00567F81">
        <w:rPr>
          <w:rFonts w:cs="Times New Roman"/>
        </w:rPr>
        <w:t xml:space="preserve"> podmienok C</w:t>
      </w:r>
      <w:r w:rsidR="000F2925" w:rsidRPr="006235DB">
        <w:rPr>
          <w:rFonts w:cs="Times New Roman"/>
        </w:rPr>
        <w:t>entrálny depozitár sprístupní vo svojom sídle a zverejní na we</w:t>
      </w:r>
      <w:r w:rsidR="006235DB">
        <w:rPr>
          <w:rFonts w:cs="Times New Roman"/>
        </w:rPr>
        <w:t>bovej stránke</w:t>
      </w:r>
      <w:r w:rsidR="000F2925" w:rsidRPr="006235DB">
        <w:rPr>
          <w:rFonts w:cs="Times New Roman"/>
        </w:rPr>
        <w:t xml:space="preserve"> </w:t>
      </w:r>
      <w:hyperlink r:id="rId15" w:history="1">
        <w:r w:rsidR="000F2925" w:rsidRPr="006235DB">
          <w:rPr>
            <w:rStyle w:val="Hypertextovprepojenie"/>
            <w:rFonts w:cs="Times New Roman"/>
            <w:color w:val="auto"/>
          </w:rPr>
          <w:t>www.cdcp.sk</w:t>
        </w:r>
      </w:hyperlink>
      <w:r w:rsidR="000F2925" w:rsidRPr="006235DB">
        <w:rPr>
          <w:rFonts w:cs="Times New Roman"/>
        </w:rPr>
        <w:t xml:space="preserve"> s určením ich platnosti a účinnosti, pričom zabezpečí takéto sprístupnenie a zverejnenie </w:t>
      </w:r>
      <w:r w:rsidR="000F2925" w:rsidRPr="00DA787C">
        <w:rPr>
          <w:rFonts w:cs="Times New Roman"/>
        </w:rPr>
        <w:t>najme</w:t>
      </w:r>
      <w:r w:rsidR="0024770B" w:rsidRPr="00DA787C">
        <w:rPr>
          <w:rFonts w:cs="Times New Roman"/>
        </w:rPr>
        <w:t>nej 30 dní</w:t>
      </w:r>
      <w:r w:rsidR="0024770B" w:rsidRPr="006235DB">
        <w:rPr>
          <w:rFonts w:cs="Times New Roman"/>
        </w:rPr>
        <w:t xml:space="preserve"> pred určeným dátumom účinnosti.</w:t>
      </w:r>
    </w:p>
    <w:p w:rsidR="00AC0E39" w:rsidRPr="006235DB" w:rsidRDefault="00AC0E39" w:rsidP="00006276">
      <w:pPr>
        <w:pStyle w:val="Odsekzoznamu"/>
        <w:numPr>
          <w:ilvl w:val="0"/>
          <w:numId w:val="1"/>
        </w:numPr>
        <w:spacing w:before="240" w:after="240"/>
        <w:ind w:left="567" w:hanging="567"/>
        <w:jc w:val="both"/>
      </w:pPr>
      <w:r w:rsidRPr="006235DB">
        <w:rPr>
          <w:rFonts w:eastAsiaTheme="minorHAnsi"/>
        </w:rPr>
        <w:t xml:space="preserve">V prípade, </w:t>
      </w:r>
      <w:r w:rsidR="002F76E7">
        <w:rPr>
          <w:rFonts w:eastAsiaTheme="minorHAnsi"/>
        </w:rPr>
        <w:t>ak</w:t>
      </w:r>
      <w:r w:rsidRPr="006235DB">
        <w:rPr>
          <w:rFonts w:eastAsiaTheme="minorHAnsi"/>
        </w:rPr>
        <w:t xml:space="preserve"> by sa niektoré ustanovenia Zmluvy o</w:t>
      </w:r>
      <w:r w:rsidR="00475DC3">
        <w:rPr>
          <w:rFonts w:eastAsiaTheme="minorHAnsi"/>
        </w:rPr>
        <w:t> vedení zoznamu akcionárov</w:t>
      </w:r>
      <w:r w:rsidRPr="006235DB">
        <w:rPr>
          <w:rFonts w:eastAsiaTheme="minorHAnsi"/>
        </w:rPr>
        <w:t xml:space="preserve"> alebo </w:t>
      </w:r>
      <w:r w:rsidR="00567F81">
        <w:rPr>
          <w:rFonts w:eastAsiaTheme="minorHAnsi"/>
        </w:rPr>
        <w:t>O</w:t>
      </w:r>
      <w:r w:rsidRPr="006235DB">
        <w:rPr>
          <w:rFonts w:eastAsiaTheme="minorHAnsi"/>
        </w:rPr>
        <w:t xml:space="preserve">bchodných podmienok stali neplatnými alebo neúčinnými, alebo ak by sa v dôsledku legislatívnych zmien alebo zmien Prevádzkového poriadku dostali niektoré z ustanovení </w:t>
      </w:r>
      <w:r w:rsidR="00567F81">
        <w:rPr>
          <w:rFonts w:eastAsiaTheme="minorHAnsi"/>
        </w:rPr>
        <w:t>Z</w:t>
      </w:r>
      <w:r w:rsidRPr="006235DB">
        <w:rPr>
          <w:rFonts w:eastAsiaTheme="minorHAnsi"/>
        </w:rPr>
        <w:t xml:space="preserve">mluvy </w:t>
      </w:r>
      <w:r w:rsidR="00782152">
        <w:rPr>
          <w:rFonts w:eastAsiaTheme="minorHAnsi"/>
        </w:rPr>
        <w:t>o</w:t>
      </w:r>
      <w:r w:rsidR="001813C9">
        <w:rPr>
          <w:rFonts w:eastAsiaTheme="minorHAnsi"/>
        </w:rPr>
        <w:t> vedení zoznamu akcionárov</w:t>
      </w:r>
      <w:r w:rsidR="00567F81">
        <w:rPr>
          <w:rFonts w:eastAsiaTheme="minorHAnsi"/>
        </w:rPr>
        <w:t xml:space="preserve"> a Obchodných podmienok </w:t>
      </w:r>
      <w:r w:rsidRPr="006235DB">
        <w:rPr>
          <w:rFonts w:eastAsiaTheme="minorHAnsi"/>
        </w:rPr>
        <w:t>do rozporu s platným a účinnými právnymi predpismi, nie je týmto dotknutá platnosť a účinnosť zostávajúcich</w:t>
      </w:r>
      <w:r w:rsidR="00782152">
        <w:rPr>
          <w:rFonts w:eastAsiaTheme="minorHAnsi"/>
        </w:rPr>
        <w:t xml:space="preserve"> ustanovení Zmluvy o</w:t>
      </w:r>
      <w:r w:rsidR="001813C9">
        <w:rPr>
          <w:rFonts w:eastAsiaTheme="minorHAnsi"/>
        </w:rPr>
        <w:t> vedení zoznamu akcionárov</w:t>
      </w:r>
      <w:r w:rsidRPr="006235DB">
        <w:rPr>
          <w:rFonts w:eastAsiaTheme="minorHAnsi"/>
        </w:rPr>
        <w:t xml:space="preserve"> a </w:t>
      </w:r>
      <w:r w:rsidR="00567F81">
        <w:rPr>
          <w:rFonts w:eastAsiaTheme="minorHAnsi"/>
        </w:rPr>
        <w:t>O</w:t>
      </w:r>
      <w:r w:rsidRPr="006235DB">
        <w:rPr>
          <w:rFonts w:eastAsiaTheme="minorHAnsi"/>
        </w:rPr>
        <w:t>bchodných podmienok. Namiesto neplatného alebo neúčinného ustanovenia platia za zmluvne dohodnuté tie ustanovenia, ktoré sa svojim zmyslom a účelom neplatném</w:t>
      </w:r>
      <w:r w:rsidR="00F2056E">
        <w:rPr>
          <w:rFonts w:eastAsiaTheme="minorHAnsi"/>
        </w:rPr>
        <w:t>u alebo neúčinnému ustanoveniu Z</w:t>
      </w:r>
      <w:r w:rsidRPr="006235DB">
        <w:rPr>
          <w:rFonts w:eastAsiaTheme="minorHAnsi"/>
        </w:rPr>
        <w:t>mluvy</w:t>
      </w:r>
      <w:r w:rsidR="00F2056E">
        <w:rPr>
          <w:rFonts w:eastAsiaTheme="minorHAnsi"/>
        </w:rPr>
        <w:t xml:space="preserve"> o vedení zoznamu akcionárov alebo Obchodných podmienok</w:t>
      </w:r>
      <w:r w:rsidRPr="006235DB">
        <w:rPr>
          <w:rFonts w:eastAsiaTheme="minorHAnsi"/>
        </w:rPr>
        <w:t xml:space="preserve"> najviac približujú.</w:t>
      </w:r>
    </w:p>
    <w:p w:rsidR="00641CF9" w:rsidRPr="00641CF9" w:rsidRDefault="00641CF9" w:rsidP="00641CF9">
      <w:pPr>
        <w:pStyle w:val="Odsekzoznamu"/>
        <w:numPr>
          <w:ilvl w:val="0"/>
          <w:numId w:val="1"/>
        </w:numPr>
        <w:ind w:left="567" w:hanging="567"/>
        <w:jc w:val="both"/>
        <w:rPr>
          <w:rFonts w:cs="Times New Roman"/>
          <w:b/>
        </w:rPr>
      </w:pPr>
      <w:r>
        <w:t xml:space="preserve">Informácie doručované emitentovi zo strany Centrálneho depozitára prostredníctvom e-mailovej správy sa </w:t>
      </w:r>
      <w:r w:rsidRPr="00BA4EB9">
        <w:t>považujú za doručené v deň odoslania e-mailovej správy</w:t>
      </w:r>
      <w:r w:rsidR="001403DD">
        <w:t xml:space="preserve"> na adresu určenú emitentom</w:t>
      </w:r>
      <w:r w:rsidRPr="00BA4EB9">
        <w:t>. Emitent</w:t>
      </w:r>
      <w:r w:rsidRPr="00D07867">
        <w:t xml:space="preserve"> </w:t>
      </w:r>
      <w:r>
        <w:t xml:space="preserve">je povinný zabezpečiť </w:t>
      </w:r>
      <w:r w:rsidRPr="00641CF9">
        <w:rPr>
          <w:bCs/>
        </w:rPr>
        <w:t xml:space="preserve">riadnu funkčnosť komunikačných kanálov na jeho strane. Centrálny depozitár nezodpovedá za škodu, ktorá </w:t>
      </w:r>
      <w:r w:rsidR="004C07A6">
        <w:rPr>
          <w:bCs/>
        </w:rPr>
        <w:t xml:space="preserve">vznikne v dôsledku </w:t>
      </w:r>
      <w:r w:rsidR="004C07A6">
        <w:rPr>
          <w:bCs/>
        </w:rPr>
        <w:lastRenderedPageBreak/>
        <w:t>porušenia</w:t>
      </w:r>
      <w:r w:rsidRPr="00641CF9">
        <w:rPr>
          <w:bCs/>
        </w:rPr>
        <w:t xml:space="preserve"> povinností emitenta v zmysle</w:t>
      </w:r>
      <w:r w:rsidR="00152D97">
        <w:rPr>
          <w:bCs/>
        </w:rPr>
        <w:t xml:space="preserve"> tohto ustanovenia a poskytnutia</w:t>
      </w:r>
      <w:r w:rsidRPr="00641CF9">
        <w:rPr>
          <w:bCs/>
        </w:rPr>
        <w:t xml:space="preserve"> nesprávnych alebo chybných e-mailových</w:t>
      </w:r>
      <w:r w:rsidR="00EA7657">
        <w:rPr>
          <w:bCs/>
        </w:rPr>
        <w:t xml:space="preserve"> kontaktov zo strany emitenta. </w:t>
      </w:r>
    </w:p>
    <w:p w:rsidR="006B0A40" w:rsidRPr="0054588B" w:rsidRDefault="006B0A40" w:rsidP="006B0A40">
      <w:pPr>
        <w:pStyle w:val="Zkladntext"/>
        <w:ind w:left="705" w:hanging="563"/>
        <w:rPr>
          <w:rFonts w:ascii="Times New Roman" w:hAnsi="Times New Roman" w:cs="Times New Roman"/>
          <w:b/>
        </w:rPr>
      </w:pPr>
    </w:p>
    <w:p w:rsidR="007F284F" w:rsidRDefault="007F284F" w:rsidP="00681A93">
      <w:pPr>
        <w:pStyle w:val="Nadpis2"/>
        <w:numPr>
          <w:ilvl w:val="0"/>
          <w:numId w:val="13"/>
        </w:numPr>
      </w:pPr>
      <w:r>
        <w:t>PREDKLADANIE POŽIADAVIEK NA SLUŽBU</w:t>
      </w:r>
    </w:p>
    <w:p w:rsidR="007F284F" w:rsidRPr="007F284F" w:rsidRDefault="007F284F" w:rsidP="007F284F">
      <w:pPr>
        <w:ind w:firstLine="0"/>
        <w:jc w:val="both"/>
        <w:rPr>
          <w:rFonts w:cs="Times New Roman"/>
          <w:b/>
          <w:sz w:val="24"/>
          <w:szCs w:val="24"/>
        </w:rPr>
      </w:pPr>
    </w:p>
    <w:p w:rsidR="007F284F" w:rsidRDefault="007F284F" w:rsidP="00681A93">
      <w:pPr>
        <w:pStyle w:val="Odsekzoznamu"/>
        <w:numPr>
          <w:ilvl w:val="0"/>
          <w:numId w:val="6"/>
        </w:numPr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Emitent je povinný Centrálnemu depozitáru poskytnúť všetky potrebné údaje a doklady za účelom vykonania služieb na základe </w:t>
      </w:r>
      <w:r w:rsidR="00A21015">
        <w:rPr>
          <w:rFonts w:cs="Times New Roman"/>
        </w:rPr>
        <w:t>alebo v súvislosti so Zmluvou</w:t>
      </w:r>
      <w:r>
        <w:rPr>
          <w:rFonts w:cs="Times New Roman"/>
        </w:rPr>
        <w:t xml:space="preserve"> o</w:t>
      </w:r>
      <w:r w:rsidR="00705A8A">
        <w:rPr>
          <w:rFonts w:cs="Times New Roman"/>
        </w:rPr>
        <w:t> vedení zoznamu akcionárov</w:t>
      </w:r>
      <w:r>
        <w:rPr>
          <w:rFonts w:cs="Times New Roman"/>
        </w:rPr>
        <w:t xml:space="preserve">, </w:t>
      </w:r>
      <w:r w:rsidR="00D3406F" w:rsidRPr="0091345B">
        <w:rPr>
          <w:rFonts w:cs="Times New Roman"/>
          <w:szCs w:val="24"/>
        </w:rPr>
        <w:t>ak</w:t>
      </w:r>
      <w:r w:rsidR="00A21015">
        <w:rPr>
          <w:rFonts w:cs="Times New Roman"/>
          <w:szCs w:val="24"/>
        </w:rPr>
        <w:t>o aj všetky potrebné doklady a údaje</w:t>
      </w:r>
      <w:r w:rsidR="00D3406F" w:rsidRPr="0091345B">
        <w:rPr>
          <w:rFonts w:cs="Times New Roman"/>
          <w:szCs w:val="24"/>
        </w:rPr>
        <w:t xml:space="preserve"> za účelom posúdenia rizík v súvislosti s prístupom emitenta k službám </w:t>
      </w:r>
      <w:r w:rsidR="00471BAC">
        <w:rPr>
          <w:rFonts w:cs="Times New Roman"/>
          <w:szCs w:val="24"/>
        </w:rPr>
        <w:t>Centrálneho depozitára</w:t>
      </w:r>
      <w:r w:rsidR="00D3406F" w:rsidRPr="0091345B">
        <w:rPr>
          <w:rFonts w:cs="Times New Roman"/>
          <w:szCs w:val="24"/>
        </w:rPr>
        <w:t xml:space="preserve"> podľa Nariadenia CSDR a príslušných vykonávacích predpisov</w:t>
      </w:r>
      <w:r w:rsidR="00D3406F">
        <w:rPr>
          <w:rFonts w:cs="Times New Roman"/>
          <w:szCs w:val="24"/>
        </w:rPr>
        <w:t xml:space="preserve">. </w:t>
      </w:r>
      <w:r w:rsidR="00D3406F" w:rsidRPr="00D3406F">
        <w:rPr>
          <w:rFonts w:cs="Times New Roman"/>
        </w:rPr>
        <w:t>V</w:t>
      </w:r>
      <w:r w:rsidR="00A21015">
        <w:rPr>
          <w:rFonts w:cs="Times New Roman"/>
        </w:rPr>
        <w:t xml:space="preserve"> prípade </w:t>
      </w:r>
      <w:r w:rsidRPr="00D3406F">
        <w:rPr>
          <w:rFonts w:cs="Times New Roman"/>
        </w:rPr>
        <w:t>neposkytnutia</w:t>
      </w:r>
      <w:r w:rsidR="00D3406F">
        <w:rPr>
          <w:rFonts w:cs="Times New Roman"/>
        </w:rPr>
        <w:t xml:space="preserve"> údajov a dokladov podľa prechádzajúcej vety</w:t>
      </w:r>
      <w:r w:rsidRPr="00D3406F">
        <w:rPr>
          <w:rFonts w:cs="Times New Roman"/>
        </w:rPr>
        <w:t xml:space="preserve">, </w:t>
      </w:r>
      <w:r w:rsidR="00D3406F">
        <w:rPr>
          <w:rFonts w:cs="Times New Roman"/>
        </w:rPr>
        <w:t xml:space="preserve">ich </w:t>
      </w:r>
      <w:r w:rsidRPr="00D3406F">
        <w:rPr>
          <w:rFonts w:cs="Times New Roman"/>
        </w:rPr>
        <w:t xml:space="preserve">oneskoreného, chybného alebo neúplného poskytnutia, je Centrálny depozitár oprávnený odmietnuť </w:t>
      </w:r>
      <w:r w:rsidR="00816D1A">
        <w:rPr>
          <w:rFonts w:cs="Times New Roman"/>
        </w:rPr>
        <w:t xml:space="preserve">vykonať </w:t>
      </w:r>
      <w:r w:rsidRPr="00D3406F">
        <w:rPr>
          <w:rFonts w:cs="Times New Roman"/>
        </w:rPr>
        <w:t>požadovanú službu.</w:t>
      </w:r>
      <w:r w:rsidR="00D3406F" w:rsidRPr="00D3406F">
        <w:rPr>
          <w:rFonts w:cs="Times New Roman"/>
        </w:rPr>
        <w:t xml:space="preserve"> </w:t>
      </w:r>
    </w:p>
    <w:p w:rsidR="001C3B2C" w:rsidRPr="001C3B2C" w:rsidRDefault="001C3B2C" w:rsidP="00681A93">
      <w:pPr>
        <w:pStyle w:val="Odsekzoznamu"/>
        <w:numPr>
          <w:ilvl w:val="0"/>
          <w:numId w:val="6"/>
        </w:numPr>
        <w:ind w:left="567" w:hanging="567"/>
        <w:jc w:val="both"/>
        <w:rPr>
          <w:rFonts w:cs="Times New Roman"/>
        </w:rPr>
      </w:pPr>
      <w:r>
        <w:rPr>
          <w:rFonts w:cs="Times New Roman"/>
        </w:rPr>
        <w:t>Okrem dokumentov</w:t>
      </w:r>
      <w:r w:rsidR="00454740">
        <w:rPr>
          <w:rFonts w:cs="Times New Roman"/>
        </w:rPr>
        <w:t>,</w:t>
      </w:r>
      <w:r>
        <w:rPr>
          <w:rFonts w:cs="Times New Roman"/>
        </w:rPr>
        <w:t xml:space="preserve"> vymenovaných v príslušných ustanov</w:t>
      </w:r>
      <w:r w:rsidR="00DA787C">
        <w:rPr>
          <w:rFonts w:cs="Times New Roman"/>
        </w:rPr>
        <w:t>eniach Obchodných podmienok</w:t>
      </w:r>
      <w:r w:rsidR="005A4B75">
        <w:rPr>
          <w:rFonts w:cs="Times New Roman"/>
        </w:rPr>
        <w:t>,</w:t>
      </w:r>
      <w:r w:rsidR="00DA787C">
        <w:rPr>
          <w:rFonts w:cs="Times New Roman"/>
        </w:rPr>
        <w:t xml:space="preserve"> je C</w:t>
      </w:r>
      <w:r>
        <w:rPr>
          <w:rFonts w:cs="Times New Roman"/>
        </w:rPr>
        <w:t>entrálny depozitár oprávnený požadovať od emitenta aj ďalšie doklady, ak je t</w:t>
      </w:r>
      <w:r w:rsidR="00F942BF">
        <w:rPr>
          <w:rFonts w:cs="Times New Roman"/>
        </w:rPr>
        <w:t>o vzhľadom na okolnosti dôvodné alebo existuje pochybnosť o správnosti predložených údajov alebo dokladov.</w:t>
      </w:r>
    </w:p>
    <w:p w:rsidR="00CE0F4D" w:rsidRPr="001D1D23" w:rsidRDefault="00A97B96" w:rsidP="001D1D23">
      <w:pPr>
        <w:pStyle w:val="Odsekzoznamu"/>
        <w:numPr>
          <w:ilvl w:val="0"/>
          <w:numId w:val="6"/>
        </w:numPr>
        <w:ind w:left="567" w:hanging="567"/>
        <w:jc w:val="both"/>
        <w:rPr>
          <w:rFonts w:cs="Times New Roman"/>
        </w:rPr>
      </w:pPr>
      <w:r w:rsidRPr="005E2207">
        <w:rPr>
          <w:rFonts w:cs="TimesNewRomanPSMT"/>
          <w:szCs w:val="24"/>
        </w:rPr>
        <w:t>Emitent predkladá</w:t>
      </w:r>
      <w:r w:rsidR="00453C1C" w:rsidRPr="005E2207">
        <w:rPr>
          <w:rFonts w:cs="TimesNewRomanPSMT"/>
          <w:szCs w:val="24"/>
        </w:rPr>
        <w:t xml:space="preserve"> požiadavku na službu </w:t>
      </w:r>
      <w:r w:rsidRPr="005E2207">
        <w:rPr>
          <w:rFonts w:cs="TimesNewRomanPSMT"/>
          <w:szCs w:val="24"/>
        </w:rPr>
        <w:t>formou</w:t>
      </w:r>
      <w:r w:rsidR="00E53D5F">
        <w:rPr>
          <w:rFonts w:cs="TimesNewRomanPSMT"/>
          <w:szCs w:val="24"/>
        </w:rPr>
        <w:t xml:space="preserve"> </w:t>
      </w:r>
      <w:r w:rsidR="000E2468">
        <w:rPr>
          <w:rFonts w:cs="TimesNewRomanPSMT"/>
          <w:szCs w:val="24"/>
        </w:rPr>
        <w:t xml:space="preserve">a </w:t>
      </w:r>
      <w:r w:rsidR="00E53D5F">
        <w:rPr>
          <w:rFonts w:cs="TimesNewRomanPSMT"/>
          <w:szCs w:val="24"/>
        </w:rPr>
        <w:t>spôsobom stanoveným v príslušných usta</w:t>
      </w:r>
      <w:r w:rsidR="002E138C">
        <w:rPr>
          <w:rFonts w:cs="TimesNewRomanPSMT"/>
          <w:szCs w:val="24"/>
        </w:rPr>
        <w:t>noveniach Obchodných podmienok.</w:t>
      </w:r>
      <w:r w:rsidR="001D1D23">
        <w:rPr>
          <w:rFonts w:cs="TimesNewRomanPSMT"/>
          <w:szCs w:val="24"/>
        </w:rPr>
        <w:t xml:space="preserve"> </w:t>
      </w:r>
    </w:p>
    <w:p w:rsidR="004F5C07" w:rsidRPr="004F5C07" w:rsidRDefault="004F5C07" w:rsidP="00681A93">
      <w:pPr>
        <w:pStyle w:val="Odsekzoznamu"/>
        <w:numPr>
          <w:ilvl w:val="0"/>
          <w:numId w:val="6"/>
        </w:numPr>
        <w:ind w:left="567" w:hanging="567"/>
        <w:jc w:val="both"/>
        <w:rPr>
          <w:rFonts w:cs="Times New Roman"/>
        </w:rPr>
      </w:pPr>
      <w:r>
        <w:rPr>
          <w:rFonts w:cs="Times New Roman"/>
        </w:rPr>
        <w:t>Požiadavku na službu</w:t>
      </w:r>
      <w:r w:rsidRPr="004F5C07">
        <w:rPr>
          <w:rFonts w:cs="Times New Roman"/>
        </w:rPr>
        <w:t xml:space="preserve"> podáva </w:t>
      </w:r>
      <w:r w:rsidR="00816D1A">
        <w:rPr>
          <w:rFonts w:cs="Times New Roman"/>
        </w:rPr>
        <w:t>emitent prostredníctvom osoby oprávnenej</w:t>
      </w:r>
      <w:r>
        <w:rPr>
          <w:rFonts w:cs="Times New Roman"/>
        </w:rPr>
        <w:t xml:space="preserve"> konať v mene</w:t>
      </w:r>
      <w:r w:rsidRPr="004F5C07">
        <w:rPr>
          <w:rFonts w:cs="Times New Roman"/>
        </w:rPr>
        <w:t xml:space="preserve"> </w:t>
      </w:r>
      <w:r>
        <w:rPr>
          <w:rFonts w:cs="Times New Roman"/>
        </w:rPr>
        <w:t>emitenta</w:t>
      </w:r>
      <w:r w:rsidRPr="004F5C07">
        <w:rPr>
          <w:rFonts w:cs="Times New Roman"/>
        </w:rPr>
        <w:t xml:space="preserve">. </w:t>
      </w:r>
    </w:p>
    <w:p w:rsidR="004F5C07" w:rsidRPr="004F5C07" w:rsidRDefault="004F5C07" w:rsidP="00681A93">
      <w:pPr>
        <w:pStyle w:val="Odsekzoznamu"/>
        <w:numPr>
          <w:ilvl w:val="0"/>
          <w:numId w:val="6"/>
        </w:numPr>
        <w:ind w:left="567" w:hanging="567"/>
        <w:jc w:val="both"/>
        <w:rPr>
          <w:rFonts w:cs="Times New Roman"/>
        </w:rPr>
      </w:pPr>
      <w:r>
        <w:rPr>
          <w:rFonts w:cs="Times New Roman"/>
        </w:rPr>
        <w:t>Okrem dokladov osobitne uvedených v časti VI. Prevádzkového poriadku, Obchodných podm</w:t>
      </w:r>
      <w:r w:rsidR="001E451D">
        <w:rPr>
          <w:rFonts w:cs="Times New Roman"/>
        </w:rPr>
        <w:t>ien</w:t>
      </w:r>
      <w:r w:rsidR="00A15C2B">
        <w:rPr>
          <w:rFonts w:cs="Times New Roman"/>
        </w:rPr>
        <w:t>k</w:t>
      </w:r>
      <w:r w:rsidR="001E451D">
        <w:rPr>
          <w:rFonts w:cs="Times New Roman"/>
        </w:rPr>
        <w:t>ach</w:t>
      </w:r>
      <w:r w:rsidR="00A15C2B">
        <w:rPr>
          <w:rFonts w:cs="Times New Roman"/>
        </w:rPr>
        <w:t xml:space="preserve"> alebo Zmluve o</w:t>
      </w:r>
      <w:r w:rsidR="00705A8A">
        <w:rPr>
          <w:rFonts w:cs="Times New Roman"/>
        </w:rPr>
        <w:t> vedení zoznamu akcionárov</w:t>
      </w:r>
      <w:r>
        <w:rPr>
          <w:rFonts w:cs="Times New Roman"/>
        </w:rPr>
        <w:t xml:space="preserve"> je emitent povinný k požiadavkám na službu predložiť doklady v súlade s časťou I. Prevádzkového poriadku</w:t>
      </w:r>
      <w:r w:rsidR="00DA787C">
        <w:rPr>
          <w:rFonts w:cs="Times New Roman"/>
        </w:rPr>
        <w:t xml:space="preserve"> </w:t>
      </w:r>
      <w:r w:rsidR="003010ED">
        <w:rPr>
          <w:rFonts w:cs="Times New Roman"/>
        </w:rPr>
        <w:t xml:space="preserve">(najmä doklady súvisiace s identifikáciou osoby oprávnenej konať </w:t>
      </w:r>
      <w:r w:rsidR="003010ED">
        <w:rPr>
          <w:rFonts w:cs="Times New Roman"/>
        </w:rPr>
        <w:lastRenderedPageBreak/>
        <w:t>v mene emitenta, s prekladaním plnomocenstva a pod.).</w:t>
      </w:r>
    </w:p>
    <w:p w:rsidR="00A21015" w:rsidRDefault="00DA787C" w:rsidP="00681A93">
      <w:pPr>
        <w:pStyle w:val="Odsekzoznamu"/>
        <w:numPr>
          <w:ilvl w:val="0"/>
          <w:numId w:val="6"/>
        </w:numPr>
        <w:ind w:left="567" w:hanging="567"/>
        <w:jc w:val="both"/>
        <w:rPr>
          <w:rFonts w:cs="Times New Roman"/>
        </w:rPr>
      </w:pPr>
      <w:r>
        <w:rPr>
          <w:rFonts w:cs="Times New Roman"/>
        </w:rPr>
        <w:t>Požiadavku</w:t>
      </w:r>
      <w:r w:rsidR="00A97B96">
        <w:rPr>
          <w:rFonts w:cs="Times New Roman"/>
        </w:rPr>
        <w:t xml:space="preserve"> na službu </w:t>
      </w:r>
      <w:r w:rsidR="001622DB">
        <w:rPr>
          <w:rFonts w:cs="Times New Roman"/>
        </w:rPr>
        <w:t>v </w:t>
      </w:r>
      <w:r w:rsidR="00CE0D87">
        <w:rPr>
          <w:rFonts w:cs="Times New Roman"/>
        </w:rPr>
        <w:t>listinnej</w:t>
      </w:r>
      <w:r w:rsidR="001622DB">
        <w:rPr>
          <w:rFonts w:cs="Times New Roman"/>
        </w:rPr>
        <w:t xml:space="preserve"> forme predkladá emitent </w:t>
      </w:r>
      <w:r w:rsidR="00A97B96">
        <w:rPr>
          <w:rFonts w:cs="Times New Roman"/>
        </w:rPr>
        <w:t>výlučne formou predpísaných formulárov</w:t>
      </w:r>
      <w:r>
        <w:rPr>
          <w:rFonts w:cs="Times New Roman"/>
        </w:rPr>
        <w:t xml:space="preserve">, zmlúv, </w:t>
      </w:r>
      <w:r w:rsidR="00A97B96">
        <w:rPr>
          <w:rFonts w:cs="Times New Roman"/>
        </w:rPr>
        <w:t xml:space="preserve">dodatkov </w:t>
      </w:r>
      <w:r>
        <w:rPr>
          <w:rFonts w:cs="Times New Roman"/>
        </w:rPr>
        <w:t xml:space="preserve">k zmluvám </w:t>
      </w:r>
      <w:r w:rsidR="00A97B96">
        <w:rPr>
          <w:rFonts w:cs="Times New Roman"/>
        </w:rPr>
        <w:t xml:space="preserve">a ich príslušných príloh, ktoré sú zverejnené na webovej stránke Centrálneho depozitára </w:t>
      </w:r>
      <w:hyperlink r:id="rId16" w:history="1">
        <w:r w:rsidR="00A97B96" w:rsidRPr="00A21015">
          <w:rPr>
            <w:rStyle w:val="Hypertextovprepojenie"/>
            <w:rFonts w:cs="Times New Roman"/>
            <w:color w:val="auto"/>
          </w:rPr>
          <w:t>www.cdcp</w:t>
        </w:r>
      </w:hyperlink>
      <w:r w:rsidR="004473DF">
        <w:rPr>
          <w:rStyle w:val="Hypertextovprepojenie"/>
          <w:rFonts w:cs="Times New Roman"/>
          <w:color w:val="auto"/>
        </w:rPr>
        <w:t>.sk</w:t>
      </w:r>
      <w:r w:rsidR="00A97B96">
        <w:rPr>
          <w:rFonts w:cs="Times New Roman"/>
        </w:rPr>
        <w:t xml:space="preserve">, ak sa </w:t>
      </w:r>
      <w:r w:rsidR="008E512A">
        <w:rPr>
          <w:rFonts w:cs="Times New Roman"/>
        </w:rPr>
        <w:t xml:space="preserve">emitent </w:t>
      </w:r>
      <w:r w:rsidR="00A97B96">
        <w:rPr>
          <w:rFonts w:cs="Times New Roman"/>
        </w:rPr>
        <w:t>s </w:t>
      </w:r>
      <w:r w:rsidR="008E512A">
        <w:rPr>
          <w:rFonts w:cs="Times New Roman"/>
        </w:rPr>
        <w:t>C</w:t>
      </w:r>
      <w:r w:rsidR="00A97B96">
        <w:rPr>
          <w:rFonts w:cs="Times New Roman"/>
        </w:rPr>
        <w:t>entrálny</w:t>
      </w:r>
      <w:r w:rsidR="00A15C2B">
        <w:rPr>
          <w:rFonts w:cs="Times New Roman"/>
        </w:rPr>
        <w:t>m</w:t>
      </w:r>
      <w:r w:rsidR="00A97B96">
        <w:rPr>
          <w:rFonts w:cs="Times New Roman"/>
        </w:rPr>
        <w:t xml:space="preserve"> depozitárom nedohodnú inak.</w:t>
      </w:r>
      <w:r w:rsidR="008E512A">
        <w:rPr>
          <w:rFonts w:cs="Times New Roman"/>
        </w:rPr>
        <w:t xml:space="preserve"> </w:t>
      </w:r>
      <w:r w:rsidR="007F284F" w:rsidRPr="008E512A">
        <w:rPr>
          <w:rFonts w:cs="Times New Roman"/>
        </w:rPr>
        <w:t xml:space="preserve">V prípade </w:t>
      </w:r>
      <w:r w:rsidR="00CE0D87">
        <w:rPr>
          <w:rFonts w:cs="Times New Roman"/>
        </w:rPr>
        <w:t>listinných</w:t>
      </w:r>
      <w:r w:rsidR="006D0C51" w:rsidRPr="008E512A">
        <w:rPr>
          <w:rFonts w:cs="Times New Roman"/>
        </w:rPr>
        <w:t xml:space="preserve"> </w:t>
      </w:r>
      <w:r w:rsidR="007F284F" w:rsidRPr="008E512A">
        <w:rPr>
          <w:rFonts w:cs="Times New Roman"/>
        </w:rPr>
        <w:t>požiadaviek na služb</w:t>
      </w:r>
      <w:r w:rsidR="00A21015">
        <w:rPr>
          <w:rFonts w:cs="Times New Roman"/>
        </w:rPr>
        <w:t>y</w:t>
      </w:r>
      <w:r w:rsidR="006D0C51" w:rsidRPr="008E512A">
        <w:rPr>
          <w:rFonts w:cs="Times New Roman"/>
        </w:rPr>
        <w:t xml:space="preserve"> musí byť podpis osoby oprávnenej konať v mene emitenta úradne overený, ak Prevádzkový poriadok nestanovuje inak</w:t>
      </w:r>
      <w:r w:rsidR="00ED0B57" w:rsidRPr="008E512A">
        <w:rPr>
          <w:rFonts w:cs="Times New Roman"/>
        </w:rPr>
        <w:t>, v opačnom prípade je Centrálny depozitár oprávnený požiadavku na službu odmietnuť</w:t>
      </w:r>
      <w:r w:rsidR="006D0C51" w:rsidRPr="009D224D">
        <w:rPr>
          <w:rFonts w:cs="Times New Roman"/>
        </w:rPr>
        <w:t xml:space="preserve">. Ustanovenie predchádzajúcej vety sa neuplatňuje v prípade, ak emitent predkladá požiadavku na službu osobne v sídle Centrálneho depozitára </w:t>
      </w:r>
      <w:r w:rsidR="001E451D">
        <w:rPr>
          <w:rFonts w:cs="Times New Roman"/>
        </w:rPr>
        <w:t xml:space="preserve">na príslušnom prevádzkovom pracovisku </w:t>
      </w:r>
      <w:r w:rsidR="006D0C51" w:rsidRPr="009D224D">
        <w:rPr>
          <w:rFonts w:cs="Times New Roman"/>
        </w:rPr>
        <w:t xml:space="preserve">a </w:t>
      </w:r>
      <w:r w:rsidR="00A61E98" w:rsidRPr="009D224D">
        <w:rPr>
          <w:rFonts w:cs="Times New Roman"/>
        </w:rPr>
        <w:t>totožnosť</w:t>
      </w:r>
      <w:r w:rsidR="006D0C51" w:rsidRPr="009D224D">
        <w:rPr>
          <w:rFonts w:cs="Times New Roman"/>
        </w:rPr>
        <w:t xml:space="preserve"> osoby oprávnenej konať v mene emitenta overí zamestnanec Centrálneho depozitára.</w:t>
      </w:r>
    </w:p>
    <w:p w:rsidR="009D224D" w:rsidRDefault="009D224D" w:rsidP="00681A93">
      <w:pPr>
        <w:pStyle w:val="Odsekzoznamu"/>
        <w:numPr>
          <w:ilvl w:val="0"/>
          <w:numId w:val="6"/>
        </w:numPr>
        <w:ind w:left="567" w:hanging="567"/>
        <w:jc w:val="both"/>
        <w:rPr>
          <w:rFonts w:cs="Times New Roman"/>
        </w:rPr>
      </w:pPr>
      <w:r>
        <w:rPr>
          <w:rFonts w:cs="Times New Roman"/>
        </w:rPr>
        <w:t>Centrálny depozitár vykoná emitentom požadovanú službu v</w:t>
      </w:r>
      <w:r w:rsidR="00D35F34">
        <w:rPr>
          <w:rFonts w:cs="Times New Roman"/>
        </w:rPr>
        <w:t> </w:t>
      </w:r>
      <w:r>
        <w:rPr>
          <w:rFonts w:cs="Times New Roman"/>
        </w:rPr>
        <w:t>prípade</w:t>
      </w:r>
      <w:r w:rsidR="00D35F34">
        <w:rPr>
          <w:rFonts w:cs="Times New Roman"/>
        </w:rPr>
        <w:t>,</w:t>
      </w:r>
      <w:r w:rsidR="00816D1A">
        <w:rPr>
          <w:rFonts w:cs="Times New Roman"/>
        </w:rPr>
        <w:t xml:space="preserve"> ak</w:t>
      </w:r>
      <w:r>
        <w:rPr>
          <w:rFonts w:cs="Times New Roman"/>
        </w:rPr>
        <w:t>:</w:t>
      </w:r>
    </w:p>
    <w:p w:rsidR="009D224D" w:rsidRDefault="009D224D" w:rsidP="00681A93">
      <w:pPr>
        <w:pStyle w:val="Odsekzoznamu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 xml:space="preserve">požiadavka na službu </w:t>
      </w:r>
      <w:r w:rsidR="00816D1A">
        <w:rPr>
          <w:rFonts w:cs="Times New Roman"/>
        </w:rPr>
        <w:t xml:space="preserve">je </w:t>
      </w:r>
      <w:r>
        <w:rPr>
          <w:rFonts w:cs="Times New Roman"/>
        </w:rPr>
        <w:t>podaná oprávnenou osobou konať v mene emitenta,</w:t>
      </w:r>
    </w:p>
    <w:p w:rsidR="009D224D" w:rsidRDefault="009D224D" w:rsidP="00681A93">
      <w:pPr>
        <w:pStyle w:val="Odsekzoznamu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 xml:space="preserve">požiadavka na službu </w:t>
      </w:r>
      <w:r w:rsidR="00816D1A">
        <w:rPr>
          <w:rFonts w:cs="Times New Roman"/>
        </w:rPr>
        <w:t xml:space="preserve">je </w:t>
      </w:r>
      <w:r>
        <w:rPr>
          <w:rFonts w:cs="Times New Roman"/>
        </w:rPr>
        <w:t>podaná spôsobom a vo forme stanovenej v Obchodných podmienkach a Prevádzkovom poriadku</w:t>
      </w:r>
      <w:r w:rsidR="00D35F34">
        <w:rPr>
          <w:rFonts w:cs="Times New Roman"/>
        </w:rPr>
        <w:t>,</w:t>
      </w:r>
    </w:p>
    <w:p w:rsidR="009D224D" w:rsidRDefault="009D224D" w:rsidP="00681A93">
      <w:pPr>
        <w:pStyle w:val="Odsekzoznamu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 xml:space="preserve">požiadavka na službu </w:t>
      </w:r>
      <w:r w:rsidR="00816D1A">
        <w:rPr>
          <w:rFonts w:cs="Times New Roman"/>
        </w:rPr>
        <w:t xml:space="preserve">je </w:t>
      </w:r>
      <w:r>
        <w:rPr>
          <w:rFonts w:cs="Times New Roman"/>
        </w:rPr>
        <w:t xml:space="preserve">úplná a sú s ňou spoločne predložené všetky potrebné dokumenty, prílohy a informácie v zmysle </w:t>
      </w:r>
      <w:r w:rsidR="003010ED">
        <w:rPr>
          <w:rFonts w:cs="Times New Roman"/>
        </w:rPr>
        <w:t>Obchodných podmienok, Prevádzkového poriadku a v súlade s príslušnými právnymi predpismi,</w:t>
      </w:r>
    </w:p>
    <w:p w:rsidR="009D224D" w:rsidRDefault="009D224D" w:rsidP="00681A93">
      <w:pPr>
        <w:pStyle w:val="Odsekzoznamu"/>
        <w:numPr>
          <w:ilvl w:val="0"/>
          <w:numId w:val="12"/>
        </w:numPr>
        <w:jc w:val="both"/>
        <w:rPr>
          <w:rFonts w:cs="Times New Roman"/>
        </w:rPr>
      </w:pPr>
      <w:r w:rsidRPr="009D224D">
        <w:rPr>
          <w:rFonts w:cs="Times New Roman"/>
        </w:rPr>
        <w:t>údaje uvedené v</w:t>
      </w:r>
      <w:r>
        <w:rPr>
          <w:rFonts w:cs="Times New Roman"/>
        </w:rPr>
        <w:t> požiadavke na službu</w:t>
      </w:r>
      <w:r w:rsidRPr="009D224D">
        <w:rPr>
          <w:rFonts w:cs="Times New Roman"/>
        </w:rPr>
        <w:t xml:space="preserve"> sa zhodujú s údajmi vyplývajúcimi z predložených </w:t>
      </w:r>
      <w:r>
        <w:rPr>
          <w:rFonts w:cs="Times New Roman"/>
        </w:rPr>
        <w:t>dokumentov</w:t>
      </w:r>
      <w:r w:rsidRPr="009D224D">
        <w:rPr>
          <w:rFonts w:cs="Times New Roman"/>
        </w:rPr>
        <w:t>,</w:t>
      </w:r>
      <w:r w:rsidR="00D35F34">
        <w:rPr>
          <w:rFonts w:cs="Times New Roman"/>
        </w:rPr>
        <w:t xml:space="preserve"> ak sú tieto dokumenty</w:t>
      </w:r>
      <w:r>
        <w:rPr>
          <w:rFonts w:cs="Times New Roman"/>
        </w:rPr>
        <w:t> prikladané k požiadavke na službu.</w:t>
      </w:r>
    </w:p>
    <w:p w:rsidR="009D224D" w:rsidRDefault="009D224D" w:rsidP="00681A93">
      <w:pPr>
        <w:pStyle w:val="Odsekzoznamu"/>
        <w:numPr>
          <w:ilvl w:val="0"/>
          <w:numId w:val="6"/>
        </w:numPr>
        <w:ind w:left="567" w:hanging="567"/>
        <w:jc w:val="both"/>
        <w:rPr>
          <w:rFonts w:cs="Times New Roman"/>
        </w:rPr>
      </w:pPr>
      <w:r>
        <w:rPr>
          <w:rFonts w:cs="Times New Roman"/>
        </w:rPr>
        <w:t>Za neúplnú sa považuje požiadavka na službu, ktorá neobsahuje</w:t>
      </w:r>
      <w:r w:rsidRPr="009D224D">
        <w:rPr>
          <w:rFonts w:cs="Times New Roman"/>
        </w:rPr>
        <w:t xml:space="preserve"> všetky </w:t>
      </w:r>
      <w:r>
        <w:rPr>
          <w:rFonts w:cs="Times New Roman"/>
        </w:rPr>
        <w:t>údaje s</w:t>
      </w:r>
      <w:r w:rsidR="00FC4280">
        <w:rPr>
          <w:rFonts w:cs="Times New Roman"/>
        </w:rPr>
        <w:t>tanovené Prevádzkovým poriadkom</w:t>
      </w:r>
      <w:r>
        <w:rPr>
          <w:rFonts w:cs="Times New Roman"/>
        </w:rPr>
        <w:t xml:space="preserve">, Obchodnými podmienkami, príslušnými </w:t>
      </w:r>
      <w:r>
        <w:rPr>
          <w:rFonts w:cs="Times New Roman"/>
        </w:rPr>
        <w:lastRenderedPageBreak/>
        <w:t xml:space="preserve">právnymi predpismi alebo všetky povinné údaje </w:t>
      </w:r>
      <w:r w:rsidRPr="009D224D">
        <w:rPr>
          <w:rFonts w:cs="Times New Roman"/>
        </w:rPr>
        <w:t xml:space="preserve">ustanovené </w:t>
      </w:r>
      <w:r>
        <w:rPr>
          <w:rFonts w:cs="Times New Roman"/>
        </w:rPr>
        <w:t xml:space="preserve">v predpísaných formulároch. Za neúplnú sa ďalej považuje požiadavka na službu, ktorá je nezrozumiteľná alebo </w:t>
      </w:r>
      <w:r w:rsidR="008D5AB4">
        <w:rPr>
          <w:rFonts w:cs="Times New Roman"/>
        </w:rPr>
        <w:t xml:space="preserve">v prípade, ak </w:t>
      </w:r>
      <w:r w:rsidR="00816D1A">
        <w:rPr>
          <w:rFonts w:cs="Times New Roman"/>
        </w:rPr>
        <w:t xml:space="preserve">sú </w:t>
      </w:r>
      <w:r w:rsidR="008D5AB4">
        <w:rPr>
          <w:rFonts w:cs="Times New Roman"/>
        </w:rPr>
        <w:t>údaje v nej uvedené zmätočné.</w:t>
      </w:r>
    </w:p>
    <w:p w:rsidR="00A21015" w:rsidRDefault="00A21015" w:rsidP="00681A93">
      <w:pPr>
        <w:pStyle w:val="Odsekzoznamu"/>
        <w:numPr>
          <w:ilvl w:val="0"/>
          <w:numId w:val="6"/>
        </w:numPr>
        <w:ind w:left="567" w:hanging="567"/>
        <w:jc w:val="both"/>
        <w:rPr>
          <w:rFonts w:cs="Times New Roman"/>
        </w:rPr>
      </w:pPr>
      <w:r w:rsidRPr="00A21015">
        <w:rPr>
          <w:rFonts w:cs="Times New Roman"/>
        </w:rPr>
        <w:t xml:space="preserve">Ak sú splnené </w:t>
      </w:r>
      <w:r w:rsidR="00562E83">
        <w:rPr>
          <w:rFonts w:cs="Times New Roman"/>
        </w:rPr>
        <w:t xml:space="preserve">všetky </w:t>
      </w:r>
      <w:r w:rsidRPr="00A21015">
        <w:rPr>
          <w:rFonts w:cs="Times New Roman"/>
        </w:rPr>
        <w:t xml:space="preserve">podmienky </w:t>
      </w:r>
      <w:r w:rsidR="00562E83">
        <w:rPr>
          <w:rFonts w:cs="Times New Roman"/>
        </w:rPr>
        <w:t>na predloženie požiadavky na službu</w:t>
      </w:r>
      <w:r>
        <w:rPr>
          <w:rFonts w:cs="Times New Roman"/>
        </w:rPr>
        <w:t xml:space="preserve"> </w:t>
      </w:r>
      <w:r w:rsidR="00206C42">
        <w:rPr>
          <w:rFonts w:cs="Times New Roman"/>
        </w:rPr>
        <w:t xml:space="preserve">podľa </w:t>
      </w:r>
      <w:r>
        <w:rPr>
          <w:rFonts w:cs="Times New Roman"/>
        </w:rPr>
        <w:t>Obchodných podmienok</w:t>
      </w:r>
      <w:r w:rsidR="00562E83">
        <w:rPr>
          <w:rFonts w:cs="Times New Roman"/>
        </w:rPr>
        <w:t xml:space="preserve"> a požiadavka na službu je úplná</w:t>
      </w:r>
      <w:r w:rsidRPr="00A21015">
        <w:rPr>
          <w:rFonts w:cs="Times New Roman"/>
        </w:rPr>
        <w:t xml:space="preserve">, </w:t>
      </w:r>
      <w:r>
        <w:rPr>
          <w:rFonts w:cs="Times New Roman"/>
        </w:rPr>
        <w:t>Centrálny depozitár</w:t>
      </w:r>
      <w:r w:rsidRPr="00A21015">
        <w:rPr>
          <w:rFonts w:cs="Times New Roman"/>
        </w:rPr>
        <w:t xml:space="preserve"> vykoná </w:t>
      </w:r>
      <w:r>
        <w:rPr>
          <w:rFonts w:cs="Times New Roman"/>
        </w:rPr>
        <w:t xml:space="preserve">emitentom požadovanú službu </w:t>
      </w:r>
      <w:r w:rsidRPr="00A21015">
        <w:rPr>
          <w:rFonts w:cs="Times New Roman"/>
        </w:rPr>
        <w:t xml:space="preserve">v </w:t>
      </w:r>
      <w:r w:rsidRPr="005B0F52">
        <w:rPr>
          <w:rFonts w:cs="Times New Roman"/>
        </w:rPr>
        <w:t>lehote 30 dní</w:t>
      </w:r>
      <w:r w:rsidRPr="00A21015">
        <w:rPr>
          <w:rFonts w:cs="Times New Roman"/>
        </w:rPr>
        <w:t xml:space="preserve"> od doručenia </w:t>
      </w:r>
      <w:r>
        <w:rPr>
          <w:rFonts w:cs="Times New Roman"/>
        </w:rPr>
        <w:t>alebo predloženia požiadavky na službu</w:t>
      </w:r>
      <w:r w:rsidRPr="00A21015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F46F20">
        <w:rPr>
          <w:rFonts w:cs="Times New Roman"/>
        </w:rPr>
        <w:t xml:space="preserve">V prípade, ak je vykonanie služby na základe požiadavky emitenta výslovne podmienené úhradou preddavku za poskytnutie služby v zmysle príslušných ustanovení Obchodných podmienok, lehota podľa predchádzajúcej vety začína plynúť </w:t>
      </w:r>
      <w:r w:rsidR="00FB5924">
        <w:rPr>
          <w:rFonts w:cs="Times New Roman"/>
        </w:rPr>
        <w:t>nasledujúci pracovný deň po dni</w:t>
      </w:r>
      <w:r w:rsidR="00F46F20">
        <w:rPr>
          <w:rFonts w:cs="Times New Roman"/>
        </w:rPr>
        <w:t xml:space="preserve"> úhrady takéhoto preddavku. </w:t>
      </w:r>
      <w:r w:rsidR="009051F1">
        <w:rPr>
          <w:rFonts w:cs="Times New Roman"/>
        </w:rPr>
        <w:t xml:space="preserve">Lehota podľa </w:t>
      </w:r>
      <w:r w:rsidR="00F46F20">
        <w:rPr>
          <w:rFonts w:cs="Times New Roman"/>
        </w:rPr>
        <w:t>tohto ustanovenia</w:t>
      </w:r>
      <w:r w:rsidR="009051F1">
        <w:rPr>
          <w:rFonts w:cs="Times New Roman"/>
        </w:rPr>
        <w:t xml:space="preserve"> sa neuplatň</w:t>
      </w:r>
      <w:r w:rsidR="00816D1A">
        <w:rPr>
          <w:rFonts w:cs="Times New Roman"/>
        </w:rPr>
        <w:t>uje v prípade, ak sa emitent s C</w:t>
      </w:r>
      <w:r w:rsidR="009051F1">
        <w:rPr>
          <w:rFonts w:cs="Times New Roman"/>
        </w:rPr>
        <w:t>entrálnym depozitárom písomne dohodnú inak v Zmluve o</w:t>
      </w:r>
      <w:r w:rsidR="00705A8A">
        <w:rPr>
          <w:rFonts w:cs="Times New Roman"/>
        </w:rPr>
        <w:t> vedení zoznamu akcionárov</w:t>
      </w:r>
      <w:r w:rsidR="009051F1">
        <w:rPr>
          <w:rFonts w:cs="Times New Roman"/>
        </w:rPr>
        <w:t xml:space="preserve"> alebo príslušnom dodatku k tejto zmluve.</w:t>
      </w:r>
      <w:r w:rsidR="004F5C07">
        <w:rPr>
          <w:rFonts w:cs="Times New Roman"/>
        </w:rPr>
        <w:t xml:space="preserve"> </w:t>
      </w:r>
    </w:p>
    <w:p w:rsidR="00337674" w:rsidRPr="00562E83" w:rsidRDefault="00562E83" w:rsidP="00681A93">
      <w:pPr>
        <w:pStyle w:val="Odsekzoznamu"/>
        <w:numPr>
          <w:ilvl w:val="0"/>
          <w:numId w:val="6"/>
        </w:numPr>
        <w:ind w:left="567" w:hanging="567"/>
        <w:jc w:val="both"/>
        <w:rPr>
          <w:rFonts w:cs="Times New Roman"/>
        </w:rPr>
      </w:pPr>
      <w:r w:rsidRPr="00562E83">
        <w:rPr>
          <w:rFonts w:cs="Times New Roman"/>
        </w:rPr>
        <w:t>Ak nie sú splnené všetky podmienky na predloženie požiadavky</w:t>
      </w:r>
      <w:r w:rsidR="003B3CB7">
        <w:rPr>
          <w:rFonts w:cs="Times New Roman"/>
        </w:rPr>
        <w:t xml:space="preserve"> na službu podľa Obchodných podmienok a Prevádzkového poriadku</w:t>
      </w:r>
      <w:r w:rsidRPr="00562E83">
        <w:rPr>
          <w:rFonts w:cs="Times New Roman"/>
        </w:rPr>
        <w:t xml:space="preserve"> a</w:t>
      </w:r>
      <w:r w:rsidR="003B3CB7">
        <w:rPr>
          <w:rFonts w:cs="Times New Roman"/>
        </w:rPr>
        <w:t>lebo</w:t>
      </w:r>
      <w:r w:rsidRPr="00562E83">
        <w:rPr>
          <w:rFonts w:cs="Times New Roman"/>
        </w:rPr>
        <w:t xml:space="preserve">  požiadavka na službu nie </w:t>
      </w:r>
      <w:r w:rsidR="004A4B92">
        <w:rPr>
          <w:rFonts w:cs="Times New Roman"/>
        </w:rPr>
        <w:t>je úplná</w:t>
      </w:r>
      <w:r w:rsidR="009051F1" w:rsidRPr="00562E83">
        <w:rPr>
          <w:rFonts w:cs="Times New Roman"/>
        </w:rPr>
        <w:t>, Centrálny depozitár službu požadovanú emitentom</w:t>
      </w:r>
      <w:r w:rsidR="009D7070" w:rsidRPr="00562E83">
        <w:rPr>
          <w:rFonts w:cs="Times New Roman"/>
        </w:rPr>
        <w:t xml:space="preserve"> nevykoná a je oprávnený požiadavku na </w:t>
      </w:r>
      <w:r w:rsidR="00337674" w:rsidRPr="00562E83">
        <w:rPr>
          <w:rFonts w:cs="Times New Roman"/>
        </w:rPr>
        <w:t>službu podanú emitentom odmietnu</w:t>
      </w:r>
      <w:r w:rsidR="009D7070" w:rsidRPr="00562E83">
        <w:rPr>
          <w:rFonts w:cs="Times New Roman"/>
        </w:rPr>
        <w:t>ť.</w:t>
      </w:r>
      <w:r w:rsidR="009051F1" w:rsidRPr="00562E83">
        <w:rPr>
          <w:rFonts w:cs="Times New Roman"/>
        </w:rPr>
        <w:t xml:space="preserve"> O tejto skutočnosti Centrálny depozitár písomne upovedomí emitenta</w:t>
      </w:r>
      <w:r w:rsidR="005A3CD2">
        <w:rPr>
          <w:rFonts w:cs="Times New Roman"/>
        </w:rPr>
        <w:t xml:space="preserve"> bezodkladne po jej zistení</w:t>
      </w:r>
      <w:r w:rsidR="009051F1" w:rsidRPr="00562E83">
        <w:rPr>
          <w:rFonts w:cs="Times New Roman"/>
        </w:rPr>
        <w:t xml:space="preserve">, pričom uvedie dôvody </w:t>
      </w:r>
      <w:r w:rsidR="00BA0EA8">
        <w:rPr>
          <w:rFonts w:cs="Times New Roman"/>
        </w:rPr>
        <w:t>nevykonania</w:t>
      </w:r>
      <w:r w:rsidR="009051F1" w:rsidRPr="00562E83">
        <w:rPr>
          <w:rFonts w:cs="Times New Roman"/>
        </w:rPr>
        <w:t xml:space="preserve"> požiadavky na službu. Emitent môže Centrálny depozitár vopred požiadať o zaslanie prípadného upovedomenia v zmysle tohto ustanovenia </w:t>
      </w:r>
      <w:r w:rsidR="009137B7" w:rsidRPr="00562E83">
        <w:rPr>
          <w:rFonts w:cs="Times New Roman"/>
        </w:rPr>
        <w:t xml:space="preserve">výlučne </w:t>
      </w:r>
      <w:r w:rsidR="00E138E8">
        <w:rPr>
          <w:rFonts w:cs="Times New Roman"/>
        </w:rPr>
        <w:t>v elektronickej forme (e-mailom)</w:t>
      </w:r>
      <w:r w:rsidR="00C3222B">
        <w:rPr>
          <w:rFonts w:cs="Times New Roman"/>
        </w:rPr>
        <w:t>, pričom túto skutočnosť spravidla vyznačí v požiadavke na službu</w:t>
      </w:r>
      <w:r w:rsidR="009051F1" w:rsidRPr="00562E83">
        <w:rPr>
          <w:rFonts w:cs="Times New Roman"/>
        </w:rPr>
        <w:t xml:space="preserve">. </w:t>
      </w:r>
      <w:r w:rsidRPr="00562E83">
        <w:rPr>
          <w:rFonts w:cs="Times New Roman"/>
        </w:rPr>
        <w:t>E</w:t>
      </w:r>
      <w:r w:rsidR="003812B7" w:rsidRPr="00562E83">
        <w:rPr>
          <w:rFonts w:cs="Times New Roman"/>
        </w:rPr>
        <w:t>mitent pri predkladaní opravy alebo doplnenia tejto požiadavky postupuje v súlade s príslušnými ustanoveniami Obchodných podmienok</w:t>
      </w:r>
      <w:r w:rsidR="00700A76" w:rsidRPr="00562E83">
        <w:rPr>
          <w:rFonts w:cs="Times New Roman"/>
        </w:rPr>
        <w:t xml:space="preserve"> a </w:t>
      </w:r>
      <w:r w:rsidR="00700A76" w:rsidRPr="00562E83">
        <w:rPr>
          <w:rFonts w:cs="Times New Roman"/>
        </w:rPr>
        <w:lastRenderedPageBreak/>
        <w:t>ustanoveniami Zmluvy o</w:t>
      </w:r>
      <w:r w:rsidR="00705A8A">
        <w:rPr>
          <w:rFonts w:cs="Times New Roman"/>
        </w:rPr>
        <w:t xml:space="preserve"> vedení zoznamu akcionárov </w:t>
      </w:r>
      <w:r w:rsidR="00700A76" w:rsidRPr="00562E83">
        <w:rPr>
          <w:rFonts w:cs="Times New Roman"/>
        </w:rPr>
        <w:t>alebo príslušného dodatku k tejto zmluve.</w:t>
      </w:r>
      <w:r w:rsidR="009D7070" w:rsidRPr="00562E83">
        <w:rPr>
          <w:rFonts w:cs="Times New Roman"/>
        </w:rPr>
        <w:t xml:space="preserve"> </w:t>
      </w:r>
      <w:r w:rsidR="009D7070" w:rsidRPr="00562E83">
        <w:rPr>
          <w:rFonts w:cs="Times New Roman"/>
          <w:szCs w:val="24"/>
        </w:rPr>
        <w:t>Zodpovednosť za škodu, ktorá vznikne v dôsledku skutočností</w:t>
      </w:r>
      <w:r w:rsidR="00FD0009">
        <w:rPr>
          <w:rFonts w:cs="Times New Roman"/>
          <w:szCs w:val="24"/>
        </w:rPr>
        <w:t>,</w:t>
      </w:r>
      <w:r w:rsidR="009D7070" w:rsidRPr="00562E83">
        <w:rPr>
          <w:rFonts w:cs="Times New Roman"/>
          <w:szCs w:val="24"/>
        </w:rPr>
        <w:t xml:space="preserve"> uvedených v tomto ustanovení</w:t>
      </w:r>
      <w:r w:rsidR="00816D1A">
        <w:rPr>
          <w:rFonts w:cs="Times New Roman"/>
          <w:szCs w:val="24"/>
        </w:rPr>
        <w:t>, a teda v dôsledku predloženia</w:t>
      </w:r>
      <w:r w:rsidR="001E451D">
        <w:rPr>
          <w:rFonts w:cs="Times New Roman"/>
          <w:szCs w:val="24"/>
        </w:rPr>
        <w:t xml:space="preserve"> požiadavky na službu</w:t>
      </w:r>
      <w:r w:rsidR="00A10E5E">
        <w:rPr>
          <w:rFonts w:cs="Times New Roman"/>
          <w:szCs w:val="24"/>
        </w:rPr>
        <w:t>, ktorá nespĺňa všetky podmienky na jej predloženie</w:t>
      </w:r>
      <w:r w:rsidR="00FD0009">
        <w:rPr>
          <w:rFonts w:cs="Times New Roman"/>
          <w:szCs w:val="24"/>
        </w:rPr>
        <w:t>,</w:t>
      </w:r>
      <w:r w:rsidR="009D7070" w:rsidRPr="00562E83">
        <w:rPr>
          <w:rFonts w:cs="Times New Roman"/>
          <w:szCs w:val="24"/>
        </w:rPr>
        <w:t xml:space="preserve"> znáša v plnom rozsahu emitent.</w:t>
      </w:r>
    </w:p>
    <w:p w:rsidR="00337674" w:rsidRDefault="002E32B6" w:rsidP="00681A93">
      <w:pPr>
        <w:pStyle w:val="Odsekzoznamu"/>
        <w:numPr>
          <w:ilvl w:val="0"/>
          <w:numId w:val="6"/>
        </w:numPr>
        <w:ind w:left="567" w:hanging="567"/>
        <w:jc w:val="both"/>
        <w:rPr>
          <w:rFonts w:cs="Times New Roman"/>
        </w:rPr>
      </w:pPr>
      <w:r w:rsidRPr="00337674">
        <w:rPr>
          <w:rFonts w:cs="Times New Roman"/>
          <w:szCs w:val="24"/>
        </w:rPr>
        <w:t>V prípa</w:t>
      </w:r>
      <w:r w:rsidR="004A4B92">
        <w:rPr>
          <w:rFonts w:cs="Times New Roman"/>
          <w:szCs w:val="24"/>
        </w:rPr>
        <w:t>de, ak je</w:t>
      </w:r>
      <w:r w:rsidR="001D1D23">
        <w:rPr>
          <w:rFonts w:cs="Times New Roman"/>
          <w:szCs w:val="24"/>
        </w:rPr>
        <w:t> požiadavka na službu, podávaná formou</w:t>
      </w:r>
      <w:r w:rsidR="004A4B92">
        <w:rPr>
          <w:rFonts w:cs="Times New Roman"/>
          <w:szCs w:val="24"/>
        </w:rPr>
        <w:t xml:space="preserve"> </w:t>
      </w:r>
      <w:r w:rsidR="004A4B92">
        <w:rPr>
          <w:rFonts w:cs="TimesNewRomanPSMT"/>
          <w:szCs w:val="24"/>
        </w:rPr>
        <w:t>p</w:t>
      </w:r>
      <w:r w:rsidR="001E451D">
        <w:rPr>
          <w:rFonts w:cs="TimesNewRomanPSMT"/>
          <w:szCs w:val="24"/>
        </w:rPr>
        <w:t>ríkaz</w:t>
      </w:r>
      <w:r w:rsidR="001D1D23">
        <w:rPr>
          <w:rFonts w:cs="TimesNewRomanPSMT"/>
          <w:szCs w:val="24"/>
        </w:rPr>
        <w:t>u</w:t>
      </w:r>
      <w:r w:rsidR="004A4B92">
        <w:rPr>
          <w:rFonts w:cs="TimesNewRomanPSMT"/>
          <w:szCs w:val="24"/>
        </w:rPr>
        <w:t xml:space="preserve"> emitenta na predpísanom formulári v</w:t>
      </w:r>
      <w:r w:rsidR="00CE0D87">
        <w:rPr>
          <w:rFonts w:cs="TimesNewRomanPSMT"/>
          <w:szCs w:val="24"/>
        </w:rPr>
        <w:t xml:space="preserve"> listinnej </w:t>
      </w:r>
      <w:r w:rsidR="004A4B92">
        <w:rPr>
          <w:rFonts w:cs="TimesNewRomanPSMT"/>
          <w:szCs w:val="24"/>
        </w:rPr>
        <w:t>forme</w:t>
      </w:r>
      <w:r w:rsidR="001D1D23">
        <w:rPr>
          <w:rFonts w:cs="TimesNewRomanPSMT"/>
          <w:szCs w:val="24"/>
        </w:rPr>
        <w:t>,</w:t>
      </w:r>
      <w:r w:rsidR="00562E83">
        <w:rPr>
          <w:rFonts w:cs="Times New Roman"/>
          <w:szCs w:val="24"/>
        </w:rPr>
        <w:t xml:space="preserve"> </w:t>
      </w:r>
      <w:r w:rsidRPr="00337674">
        <w:rPr>
          <w:rFonts w:cs="Times New Roman"/>
          <w:szCs w:val="24"/>
        </w:rPr>
        <w:t xml:space="preserve"> neúplná alebo nie sú splnené ďalšie </w:t>
      </w:r>
      <w:r w:rsidR="001E451D">
        <w:rPr>
          <w:rFonts w:cs="Times New Roman"/>
          <w:szCs w:val="24"/>
        </w:rPr>
        <w:t xml:space="preserve">podmienky pre vykonanie </w:t>
      </w:r>
      <w:r w:rsidRPr="004A4B92">
        <w:rPr>
          <w:rFonts w:cs="Times New Roman"/>
          <w:szCs w:val="24"/>
        </w:rPr>
        <w:t>služby</w:t>
      </w:r>
      <w:r w:rsidR="00A475AD">
        <w:rPr>
          <w:rFonts w:cs="Times New Roman"/>
          <w:szCs w:val="24"/>
        </w:rPr>
        <w:t xml:space="preserve"> alebo predloženie požiadavky</w:t>
      </w:r>
      <w:r w:rsidRPr="004A4B92">
        <w:rPr>
          <w:rFonts w:cs="Times New Roman"/>
          <w:szCs w:val="24"/>
        </w:rPr>
        <w:t>, je emitent povinný bezodkladne predložiť novú a úplnú požiadavku na</w:t>
      </w:r>
      <w:r w:rsidR="00BA16B4">
        <w:rPr>
          <w:rFonts w:cs="Times New Roman"/>
          <w:szCs w:val="24"/>
        </w:rPr>
        <w:t xml:space="preserve"> službu, v ktorej emitent uved</w:t>
      </w:r>
      <w:r w:rsidRPr="004A4B92">
        <w:rPr>
          <w:rFonts w:cs="Times New Roman"/>
          <w:szCs w:val="24"/>
        </w:rPr>
        <w:t>ie že ide o opravu pôvodnej požiadavky na službu</w:t>
      </w:r>
      <w:r w:rsidR="001E451D">
        <w:rPr>
          <w:rFonts w:cs="Times New Roman"/>
          <w:szCs w:val="24"/>
        </w:rPr>
        <w:t xml:space="preserve"> (s identifikovaním dátum tejto pôvodnej požiadavky)</w:t>
      </w:r>
      <w:r w:rsidRPr="004A4B92">
        <w:rPr>
          <w:rFonts w:cs="Times New Roman"/>
          <w:szCs w:val="24"/>
        </w:rPr>
        <w:t>.  V p</w:t>
      </w:r>
      <w:r w:rsidR="001D1D23">
        <w:rPr>
          <w:rFonts w:cs="Times New Roman"/>
          <w:szCs w:val="24"/>
        </w:rPr>
        <w:t xml:space="preserve">rípade, ak požiadavka na službu, podaná formou </w:t>
      </w:r>
      <w:r w:rsidR="001D1D23">
        <w:rPr>
          <w:rFonts w:cs="TimesNewRomanPSMT"/>
          <w:szCs w:val="24"/>
        </w:rPr>
        <w:t xml:space="preserve">príkazu emitenta na </w:t>
      </w:r>
      <w:r w:rsidR="001D1D23" w:rsidRPr="001D1D23">
        <w:rPr>
          <w:rFonts w:cs="TimesNewRomanPSMT"/>
          <w:szCs w:val="24"/>
        </w:rPr>
        <w:t xml:space="preserve">predpísanom formulári v listinnej forme, </w:t>
      </w:r>
      <w:r w:rsidRPr="001D1D23">
        <w:rPr>
          <w:rFonts w:cs="Times New Roman"/>
          <w:szCs w:val="24"/>
        </w:rPr>
        <w:t>nespĺňa požiadavky v zmysle ustanovenia bodu 3.7 písm. c)</w:t>
      </w:r>
      <w:r w:rsidR="001D1D23">
        <w:rPr>
          <w:rFonts w:cs="Times New Roman"/>
          <w:szCs w:val="24"/>
        </w:rPr>
        <w:t xml:space="preserve"> Obchodných podmienok</w:t>
      </w:r>
      <w:r w:rsidR="004A4B92" w:rsidRPr="001D1D23">
        <w:rPr>
          <w:rFonts w:cs="Times New Roman"/>
          <w:szCs w:val="24"/>
        </w:rPr>
        <w:t>, a teda je neúplná</w:t>
      </w:r>
      <w:r w:rsidRPr="001D1D23">
        <w:rPr>
          <w:rFonts w:cs="Times New Roman"/>
          <w:szCs w:val="24"/>
        </w:rPr>
        <w:t xml:space="preserve"> z dôvodu nepredloženia všetkých potrebných</w:t>
      </w:r>
      <w:r w:rsidRPr="001D1D23">
        <w:rPr>
          <w:rFonts w:cs="Times New Roman"/>
        </w:rPr>
        <w:t xml:space="preserve"> dokumentov, emitent vykoná opravu, resp. doplnenie požiadavky na službu formu doplneni</w:t>
      </w:r>
      <w:r w:rsidR="004A4B92" w:rsidRPr="001D1D23">
        <w:rPr>
          <w:rFonts w:cs="Times New Roman"/>
        </w:rPr>
        <w:t>a</w:t>
      </w:r>
      <w:r w:rsidRPr="001D1D23">
        <w:rPr>
          <w:rFonts w:cs="Times New Roman"/>
        </w:rPr>
        <w:t xml:space="preserve"> požadovaných dokumentov, pričom lehota na</w:t>
      </w:r>
      <w:r w:rsidRPr="00337674">
        <w:rPr>
          <w:rFonts w:cs="Times New Roman"/>
        </w:rPr>
        <w:t xml:space="preserve"> vykonanie služby Centrál</w:t>
      </w:r>
      <w:r w:rsidR="00626E0C">
        <w:rPr>
          <w:rFonts w:cs="Times New Roman"/>
        </w:rPr>
        <w:t xml:space="preserve">nym </w:t>
      </w:r>
      <w:r w:rsidRPr="00337674">
        <w:rPr>
          <w:rFonts w:cs="Times New Roman"/>
        </w:rPr>
        <w:t xml:space="preserve">depozitárom podľa bodu </w:t>
      </w:r>
      <w:r w:rsidR="004A4B92" w:rsidRPr="001D1D23">
        <w:rPr>
          <w:rFonts w:cs="Times New Roman"/>
        </w:rPr>
        <w:t>3.9</w:t>
      </w:r>
      <w:r w:rsidRPr="00337674">
        <w:rPr>
          <w:rFonts w:cs="Times New Roman"/>
        </w:rPr>
        <w:t xml:space="preserve"> </w:t>
      </w:r>
      <w:r w:rsidR="001D1D23">
        <w:rPr>
          <w:rFonts w:cs="Times New Roman"/>
        </w:rPr>
        <w:t xml:space="preserve">Obchodných podmienok </w:t>
      </w:r>
      <w:r w:rsidRPr="00337674">
        <w:rPr>
          <w:rFonts w:cs="Times New Roman"/>
        </w:rPr>
        <w:t>začína plynúť od doručenia alebo predloženia všetkých potrebných dokladov.</w:t>
      </w:r>
      <w:r w:rsidR="00641CF9">
        <w:rPr>
          <w:rFonts w:cs="Times New Roman"/>
        </w:rPr>
        <w:t xml:space="preserve"> Emitent je povinný potrebné doklady v zmysle predchádzajúcej vety doplniť v lehote 30 dní </w:t>
      </w:r>
      <w:r w:rsidR="00641CF9" w:rsidRPr="006D12D9">
        <w:rPr>
          <w:rFonts w:cs="Times New Roman"/>
        </w:rPr>
        <w:t xml:space="preserve">od doručenia </w:t>
      </w:r>
      <w:r w:rsidR="00641CF9" w:rsidRPr="00F75AE1">
        <w:rPr>
          <w:rFonts w:cs="Times New Roman"/>
        </w:rPr>
        <w:t>upovedomenia o neúplnosti požiadavky na službu</w:t>
      </w:r>
      <w:r w:rsidR="00F75AE1">
        <w:rPr>
          <w:rFonts w:cs="Times New Roman"/>
          <w:i/>
        </w:rPr>
        <w:t xml:space="preserve"> </w:t>
      </w:r>
      <w:r w:rsidR="00F75AE1" w:rsidRPr="00705A8A">
        <w:rPr>
          <w:rFonts w:cs="Times New Roman"/>
        </w:rPr>
        <w:t>zo strany Centrálneho depozitára</w:t>
      </w:r>
      <w:r w:rsidR="00641CF9">
        <w:rPr>
          <w:rFonts w:cs="Times New Roman"/>
        </w:rPr>
        <w:t>, inak Centrálny depozitár požiadavku na službu odmietne.</w:t>
      </w:r>
    </w:p>
    <w:p w:rsidR="00337674" w:rsidRPr="001D1D23" w:rsidRDefault="00337674" w:rsidP="00681A93">
      <w:pPr>
        <w:pStyle w:val="Odsekzoznamu"/>
        <w:numPr>
          <w:ilvl w:val="0"/>
          <w:numId w:val="6"/>
        </w:numPr>
        <w:ind w:left="567" w:hanging="567"/>
        <w:jc w:val="both"/>
        <w:rPr>
          <w:rFonts w:cs="Times New Roman"/>
        </w:rPr>
      </w:pPr>
      <w:r w:rsidRPr="001D1D23">
        <w:t xml:space="preserve">Pred predložením požiadavky na službu je emitent povinný zabezpečiť si, zistiť, nechať si predložiť všetky potrebné doklady, ktoré ho oprávňujú podať požiadavku na službu a právne ju  odôvodňujú. </w:t>
      </w:r>
    </w:p>
    <w:p w:rsidR="00EA7657" w:rsidRPr="00EA7657" w:rsidRDefault="00496FAF" w:rsidP="00EA7657">
      <w:pPr>
        <w:pStyle w:val="Odsekzoznamu"/>
        <w:numPr>
          <w:ilvl w:val="0"/>
          <w:numId w:val="6"/>
        </w:numPr>
        <w:ind w:left="567" w:hanging="567"/>
        <w:jc w:val="both"/>
        <w:rPr>
          <w:rFonts w:cs="Times New Roman"/>
        </w:rPr>
      </w:pPr>
      <w:r w:rsidRPr="001D1D23">
        <w:t>Centrálny depozitár</w:t>
      </w:r>
      <w:r>
        <w:t xml:space="preserve"> je oprávnený odmietnuť požiadavku n</w:t>
      </w:r>
      <w:r w:rsidR="00821C50">
        <w:t xml:space="preserve">a službu vo </w:t>
      </w:r>
      <w:r w:rsidR="00821C50">
        <w:lastRenderedPageBreak/>
        <w:t>vzťahu ku konkrétnemu zoznamu akcionárov, v prípade ktorého</w:t>
      </w:r>
      <w:r>
        <w:t xml:space="preserve"> je emitent viac ako 60 dní v omeškaní s úhradou poplatkov za služby poskytnuté v súvislosti s</w:t>
      </w:r>
      <w:r w:rsidR="00821C50">
        <w:t> týmto zoznamom akcionárov</w:t>
      </w:r>
      <w:r>
        <w:t>.</w:t>
      </w:r>
    </w:p>
    <w:p w:rsidR="00EA7657" w:rsidRPr="00EA7657" w:rsidRDefault="00EA7657" w:rsidP="00EA7657">
      <w:pPr>
        <w:pStyle w:val="Odsekzoznamu"/>
        <w:numPr>
          <w:ilvl w:val="0"/>
          <w:numId w:val="6"/>
        </w:numPr>
        <w:ind w:left="567" w:hanging="567"/>
        <w:jc w:val="both"/>
        <w:rPr>
          <w:rFonts w:cs="Times New Roman"/>
        </w:rPr>
      </w:pPr>
      <w:r>
        <w:t>Žiadosť o zoznam akcionárov podáva emitent v súlade so ZOCP a príslušnými ustanoveniami Prevádzkového poriadku.</w:t>
      </w:r>
    </w:p>
    <w:p w:rsidR="00705A8A" w:rsidRPr="005E1FFA" w:rsidRDefault="00705A8A" w:rsidP="005E1FFA">
      <w:pPr>
        <w:ind w:firstLine="0"/>
        <w:jc w:val="both"/>
        <w:rPr>
          <w:rFonts w:cs="Times New Roman"/>
        </w:rPr>
      </w:pPr>
    </w:p>
    <w:p w:rsidR="007D3BC1" w:rsidRPr="00122314" w:rsidRDefault="00F21D44" w:rsidP="00747D87">
      <w:pPr>
        <w:pStyle w:val="Nadpis2"/>
        <w:numPr>
          <w:ilvl w:val="0"/>
          <w:numId w:val="13"/>
        </w:numPr>
        <w:ind w:left="567" w:hanging="567"/>
      </w:pPr>
      <w:r>
        <w:t xml:space="preserve">REGISTRÁCIA </w:t>
      </w:r>
      <w:r w:rsidR="00BB7C9D">
        <w:t>ZOZ</w:t>
      </w:r>
      <w:r>
        <w:t>N</w:t>
      </w:r>
      <w:r w:rsidR="00BB7C9D">
        <w:t>A</w:t>
      </w:r>
      <w:r>
        <w:t>MU AKCIONÁROV</w:t>
      </w:r>
    </w:p>
    <w:p w:rsidR="00664B64" w:rsidRDefault="00664B64" w:rsidP="00664B64">
      <w:pPr>
        <w:pStyle w:val="Odsekzoznamu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17B" w:rsidRDefault="00664B64" w:rsidP="00681A93">
      <w:pPr>
        <w:pStyle w:val="Odsekzoznamu"/>
        <w:numPr>
          <w:ilvl w:val="0"/>
          <w:numId w:val="3"/>
        </w:numPr>
        <w:ind w:left="567" w:hanging="567"/>
        <w:jc w:val="both"/>
        <w:rPr>
          <w:rFonts w:cs="Times New Roman"/>
        </w:rPr>
      </w:pPr>
      <w:r w:rsidRPr="00F21D44">
        <w:rPr>
          <w:rFonts w:cs="Times New Roman"/>
        </w:rPr>
        <w:t xml:space="preserve">Centrálny depozitár </w:t>
      </w:r>
      <w:r w:rsidR="00F21D44">
        <w:rPr>
          <w:rFonts w:cs="Times New Roman"/>
        </w:rPr>
        <w:t xml:space="preserve">zaregistruje </w:t>
      </w:r>
      <w:r w:rsidRPr="00F21D44">
        <w:rPr>
          <w:rFonts w:cs="Times New Roman"/>
        </w:rPr>
        <w:t xml:space="preserve">vo svojej evidencii </w:t>
      </w:r>
      <w:r w:rsidR="00F21D44" w:rsidRPr="00F21D44">
        <w:rPr>
          <w:rFonts w:cs="Times New Roman"/>
        </w:rPr>
        <w:t xml:space="preserve">pre emitenta </w:t>
      </w:r>
      <w:r w:rsidRPr="00F21D44">
        <w:rPr>
          <w:rFonts w:cs="Times New Roman"/>
        </w:rPr>
        <w:t xml:space="preserve"> </w:t>
      </w:r>
      <w:r w:rsidR="00F21D44" w:rsidRPr="00F21D44">
        <w:rPr>
          <w:rFonts w:cs="Times New Roman"/>
        </w:rPr>
        <w:t xml:space="preserve">zoznam akcionárov </w:t>
      </w:r>
      <w:r w:rsidRPr="00F21D44">
        <w:rPr>
          <w:rFonts w:cs="Times New Roman"/>
        </w:rPr>
        <w:t>v súlade s § 107 ZOCP</w:t>
      </w:r>
      <w:r w:rsidR="00F21D44" w:rsidRPr="00F21D44">
        <w:rPr>
          <w:rFonts w:cs="Times New Roman"/>
        </w:rPr>
        <w:t xml:space="preserve"> a </w:t>
      </w:r>
      <w:r w:rsidR="00747D87">
        <w:rPr>
          <w:rFonts w:cs="Times New Roman"/>
        </w:rPr>
        <w:t xml:space="preserve">        </w:t>
      </w:r>
      <w:r w:rsidR="00F21D44" w:rsidRPr="00F21D44">
        <w:rPr>
          <w:rFonts w:cs="Times New Roman"/>
        </w:rPr>
        <w:t>§ 156 Obchodného zákonníka</w:t>
      </w:r>
      <w:r w:rsidR="00F21D44">
        <w:rPr>
          <w:rFonts w:cs="Times New Roman"/>
        </w:rPr>
        <w:t>.</w:t>
      </w:r>
    </w:p>
    <w:p w:rsidR="00E53D5F" w:rsidRDefault="00E53D5F" w:rsidP="00681A93">
      <w:pPr>
        <w:pStyle w:val="Odsekzoznamu"/>
        <w:numPr>
          <w:ilvl w:val="0"/>
          <w:numId w:val="3"/>
        </w:numPr>
        <w:ind w:left="567" w:hanging="567"/>
        <w:jc w:val="both"/>
        <w:rPr>
          <w:rFonts w:cs="Times New Roman"/>
        </w:rPr>
      </w:pPr>
      <w:r>
        <w:rPr>
          <w:rFonts w:cs="Times New Roman"/>
        </w:rPr>
        <w:t>Emitent je povinný k Zmluve o vedení zoznamu akcionárov, predložiť  nasledovné doklady</w:t>
      </w:r>
      <w:r w:rsidR="001E69C0">
        <w:rPr>
          <w:rFonts w:cs="Times New Roman"/>
        </w:rPr>
        <w:t xml:space="preserve"> a údaje</w:t>
      </w:r>
      <w:r>
        <w:rPr>
          <w:rFonts w:cs="Times New Roman"/>
        </w:rPr>
        <w:t>:</w:t>
      </w:r>
    </w:p>
    <w:p w:rsidR="00E53D5F" w:rsidRPr="00E53D5F" w:rsidRDefault="00E53D5F" w:rsidP="00681A93">
      <w:pPr>
        <w:pStyle w:val="Odsekzoznamu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>VOR nie starší ako tri mesiace k dátumu predloženia požiadavky na službu</w:t>
      </w:r>
      <w:r w:rsidR="001E69C0">
        <w:t>,</w:t>
      </w:r>
    </w:p>
    <w:p w:rsidR="00E53D5F" w:rsidRPr="00785E2E" w:rsidRDefault="00E53D5F" w:rsidP="00681A93">
      <w:pPr>
        <w:pStyle w:val="Odsekzoznamu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>zoznam akcionárov,</w:t>
      </w:r>
    </w:p>
    <w:p w:rsidR="00E53D5F" w:rsidRDefault="00E53D5F" w:rsidP="00681A93">
      <w:pPr>
        <w:pStyle w:val="Odsekzoznamu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>údaj o DIČ,</w:t>
      </w:r>
    </w:p>
    <w:p w:rsidR="00E53D5F" w:rsidRPr="00E53D5F" w:rsidRDefault="00E53D5F" w:rsidP="00681A93">
      <w:pPr>
        <w:pStyle w:val="Odsekzoznamu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>údaj o IČ DPH, ak je pridelené.</w:t>
      </w:r>
    </w:p>
    <w:p w:rsidR="005E18E4" w:rsidRDefault="005E18E4" w:rsidP="00681A93">
      <w:pPr>
        <w:pStyle w:val="Odsekzoznamu"/>
        <w:numPr>
          <w:ilvl w:val="0"/>
          <w:numId w:val="3"/>
        </w:numPr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Centrálny depozitár zaregistruje zoznam akcionárov v rozsahu a na základe údajov odovzdaných najneskôr v deň nadobudnutia účinnosti Zmluvy o vedení zoznamu akcionárov. </w:t>
      </w:r>
      <w:r w:rsidR="00BB7C9D">
        <w:rPr>
          <w:rFonts w:cs="Times New Roman"/>
        </w:rPr>
        <w:t xml:space="preserve">Údaje podľa predchádzajúcej vety predstavujú zoznam akcionárov odovzdávaný zo strany emitenta </w:t>
      </w:r>
      <w:r w:rsidR="00BA4EB9">
        <w:rPr>
          <w:rFonts w:cs="Times New Roman"/>
        </w:rPr>
        <w:t xml:space="preserve">Centrálnemu depozitáru </w:t>
      </w:r>
      <w:r w:rsidR="00BB7C9D">
        <w:rPr>
          <w:rFonts w:cs="Times New Roman"/>
        </w:rPr>
        <w:t xml:space="preserve">podľa § 156 Obchodného zákonníka. </w:t>
      </w:r>
      <w:r>
        <w:rPr>
          <w:rFonts w:cs="Times New Roman"/>
        </w:rPr>
        <w:t>Emitent predkladá údaje – zoznam akcionárov, spôsobom stanoveným v Obchodných podmienkach.</w:t>
      </w:r>
    </w:p>
    <w:p w:rsidR="00AD0750" w:rsidRPr="0024418F" w:rsidRDefault="005E18E4" w:rsidP="00681A93">
      <w:pPr>
        <w:pStyle w:val="Odsekzoznamu"/>
        <w:numPr>
          <w:ilvl w:val="0"/>
          <w:numId w:val="3"/>
        </w:numPr>
        <w:ind w:left="567" w:hanging="567"/>
        <w:jc w:val="both"/>
        <w:rPr>
          <w:rFonts w:cs="Times New Roman"/>
        </w:rPr>
      </w:pPr>
      <w:r>
        <w:t>Z</w:t>
      </w:r>
      <w:r w:rsidRPr="00AD2B70">
        <w:t>oznam akcionárov</w:t>
      </w:r>
      <w:r>
        <w:t xml:space="preserve">, ktorý emitent </w:t>
      </w:r>
      <w:r w:rsidR="00BA4EB9">
        <w:t>odovzdá</w:t>
      </w:r>
      <w:r>
        <w:t xml:space="preserve"> za účelom jeho registrácie v Centrálnom depozitári musí obsahovať údaje</w:t>
      </w:r>
      <w:r w:rsidRPr="00AD2B70">
        <w:t xml:space="preserve"> v rozsahu a</w:t>
      </w:r>
      <w:r w:rsidR="00863F6F">
        <w:t xml:space="preserve"> v súlade </w:t>
      </w:r>
      <w:r>
        <w:t xml:space="preserve">s </w:t>
      </w:r>
      <w:r w:rsidR="00863F6F">
        <w:t xml:space="preserve">náležitosťami </w:t>
      </w:r>
      <w:r w:rsidRPr="00AD2B70">
        <w:t>stanovenými v ZOCP a Obchodnom zákonníku.</w:t>
      </w:r>
      <w:r>
        <w:t xml:space="preserve"> </w:t>
      </w:r>
      <w:r w:rsidR="007A7F08">
        <w:t>Odovzdaný z</w:t>
      </w:r>
      <w:r>
        <w:t>oznam akcionárov, ktorý neobsahuje všetky požadované údaje a</w:t>
      </w:r>
      <w:r w:rsidR="007A7F08">
        <w:t> </w:t>
      </w:r>
      <w:r>
        <w:t>náležitost</w:t>
      </w:r>
      <w:r w:rsidR="001E5A1F">
        <w:t>i</w:t>
      </w:r>
      <w:r w:rsidR="007A7F08">
        <w:t>,</w:t>
      </w:r>
      <w:r>
        <w:t xml:space="preserve"> </w:t>
      </w:r>
      <w:r w:rsidR="007A7F08">
        <w:t xml:space="preserve"> alebo ak údaje v ňom obsiahnuté sú </w:t>
      </w:r>
      <w:r w:rsidR="007A7F08">
        <w:lastRenderedPageBreak/>
        <w:t xml:space="preserve">neúplné, zmätočné alebo nesprávne, </w:t>
      </w:r>
      <w:r>
        <w:t>C</w:t>
      </w:r>
      <w:r w:rsidR="00863F6F">
        <w:t>entrálny depozitár neakceptuje</w:t>
      </w:r>
      <w:r w:rsidR="007A7F08">
        <w:t>.</w:t>
      </w:r>
    </w:p>
    <w:p w:rsidR="0024418F" w:rsidRPr="0024418F" w:rsidRDefault="0024418F" w:rsidP="00681A93">
      <w:pPr>
        <w:pStyle w:val="Odsekzoznamu"/>
        <w:numPr>
          <w:ilvl w:val="0"/>
          <w:numId w:val="3"/>
        </w:numPr>
        <w:ind w:left="567" w:hanging="567"/>
        <w:jc w:val="both"/>
        <w:rPr>
          <w:rFonts w:cs="Times New Roman"/>
        </w:rPr>
      </w:pPr>
      <w:r>
        <w:t>Zoznam akcionárov emitent odovzdáva nasledovným spôsobom:</w:t>
      </w:r>
    </w:p>
    <w:p w:rsidR="0024418F" w:rsidRDefault="009B4A1A" w:rsidP="0024418F">
      <w:pPr>
        <w:pStyle w:val="Odsekzoznamu"/>
        <w:numPr>
          <w:ilvl w:val="0"/>
          <w:numId w:val="29"/>
        </w:numPr>
        <w:jc w:val="both"/>
        <w:rPr>
          <w:rFonts w:cs="Times New Roman"/>
        </w:rPr>
      </w:pPr>
      <w:r>
        <w:rPr>
          <w:rFonts w:cs="Times New Roman"/>
        </w:rPr>
        <w:t>prostre</w:t>
      </w:r>
      <w:r w:rsidR="0024418F">
        <w:rPr>
          <w:rFonts w:cs="Times New Roman"/>
        </w:rPr>
        <w:t>dní</w:t>
      </w:r>
      <w:r>
        <w:rPr>
          <w:rFonts w:cs="Times New Roman"/>
        </w:rPr>
        <w:t>c</w:t>
      </w:r>
      <w:r w:rsidR="0024418F">
        <w:rPr>
          <w:rFonts w:cs="Times New Roman"/>
        </w:rPr>
        <w:t>tvom</w:t>
      </w:r>
      <w:r>
        <w:rPr>
          <w:rFonts w:cs="Times New Roman"/>
        </w:rPr>
        <w:t xml:space="preserve"> predpísaného formuláru v listinnej podobe, ktorý obsahuje všetky predpísané údaje, alebo</w:t>
      </w:r>
    </w:p>
    <w:p w:rsidR="009B4A1A" w:rsidRPr="00AD0750" w:rsidRDefault="009B4A1A" w:rsidP="0024418F">
      <w:pPr>
        <w:pStyle w:val="Odsekzoznamu"/>
        <w:numPr>
          <w:ilvl w:val="0"/>
          <w:numId w:val="29"/>
        </w:numPr>
        <w:jc w:val="both"/>
        <w:rPr>
          <w:rFonts w:cs="Times New Roman"/>
        </w:rPr>
      </w:pPr>
      <w:r>
        <w:rPr>
          <w:rFonts w:cs="Times New Roman"/>
        </w:rPr>
        <w:t xml:space="preserve">prostredníctvom technických nosičov údajov v súlade s bodom </w:t>
      </w:r>
      <w:r w:rsidR="005F23D3">
        <w:rPr>
          <w:rFonts w:cs="Times New Roman"/>
        </w:rPr>
        <w:t>10 Obchodných podm</w:t>
      </w:r>
      <w:r w:rsidR="00551B63">
        <w:rPr>
          <w:rFonts w:cs="Times New Roman"/>
        </w:rPr>
        <w:t>i</w:t>
      </w:r>
      <w:r w:rsidR="005F23D3">
        <w:rPr>
          <w:rFonts w:cs="Times New Roman"/>
        </w:rPr>
        <w:t>e</w:t>
      </w:r>
      <w:r w:rsidR="00551B63">
        <w:rPr>
          <w:rFonts w:cs="Times New Roman"/>
        </w:rPr>
        <w:t>nok</w:t>
      </w:r>
    </w:p>
    <w:p w:rsidR="00AD0750" w:rsidRPr="00AD0750" w:rsidRDefault="007A7F08" w:rsidP="00681A93">
      <w:pPr>
        <w:pStyle w:val="Odsekzoznamu"/>
        <w:numPr>
          <w:ilvl w:val="0"/>
          <w:numId w:val="3"/>
        </w:numPr>
        <w:ind w:left="567" w:hanging="567"/>
        <w:jc w:val="both"/>
        <w:rPr>
          <w:rFonts w:cs="Times New Roman"/>
        </w:rPr>
      </w:pPr>
      <w:r>
        <w:t xml:space="preserve">V prípade, ak odovzdaný zoznam akcionárov obsahuje nedostatky v zmysle </w:t>
      </w:r>
      <w:r w:rsidR="00BA4EB9">
        <w:t>bodu 4.4</w:t>
      </w:r>
      <w:r>
        <w:t xml:space="preserve">, </w:t>
      </w:r>
      <w:r w:rsidR="00AD0750">
        <w:t xml:space="preserve">Centrálny depozitár </w:t>
      </w:r>
      <w:r w:rsidR="00863F6F">
        <w:t xml:space="preserve"> je oprávnený </w:t>
      </w:r>
      <w:r w:rsidRPr="00BB7C9D">
        <w:rPr>
          <w:rFonts w:cs="Times New Roman"/>
          <w:szCs w:val="24"/>
        </w:rPr>
        <w:t xml:space="preserve">posunúť termín </w:t>
      </w:r>
      <w:r>
        <w:t>registrácie</w:t>
      </w:r>
      <w:r w:rsidRPr="00AD2B70">
        <w:t xml:space="preserve"> zoznamu akcionárov </w:t>
      </w:r>
      <w:r>
        <w:t xml:space="preserve">stanovený v Zmluve o vedení zoznamu akcionárov </w:t>
      </w:r>
      <w:r w:rsidRPr="00BB7C9D">
        <w:rPr>
          <w:rFonts w:cs="Times New Roman"/>
          <w:szCs w:val="24"/>
        </w:rPr>
        <w:t xml:space="preserve">a vykonať </w:t>
      </w:r>
      <w:r>
        <w:t>registráciu</w:t>
      </w:r>
      <w:r w:rsidRPr="00AD2B70">
        <w:t xml:space="preserve"> zoznamu akcionárov</w:t>
      </w:r>
      <w:r w:rsidRPr="00BB7C9D">
        <w:rPr>
          <w:rFonts w:cs="Times New Roman"/>
          <w:szCs w:val="24"/>
        </w:rPr>
        <w:t xml:space="preserve"> v primeranej lehote po </w:t>
      </w:r>
      <w:r w:rsidR="00BA4EB9">
        <w:rPr>
          <w:rFonts w:cs="Times New Roman"/>
          <w:szCs w:val="24"/>
        </w:rPr>
        <w:t>odovzdaní</w:t>
      </w:r>
      <w:r w:rsidRPr="00BB7C9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nového zoznamu akcionárov, ktorý obsahuje všetky požadované náležitosti a údaje</w:t>
      </w:r>
      <w:r w:rsidR="00AD0750">
        <w:rPr>
          <w:rFonts w:cs="Times New Roman"/>
          <w:szCs w:val="24"/>
        </w:rPr>
        <w:t>.</w:t>
      </w:r>
    </w:p>
    <w:p w:rsidR="007A7F08" w:rsidRPr="00AD0750" w:rsidRDefault="00AD0750" w:rsidP="00681A93">
      <w:pPr>
        <w:pStyle w:val="Odsekzoznamu"/>
        <w:numPr>
          <w:ilvl w:val="0"/>
          <w:numId w:val="3"/>
        </w:numPr>
        <w:ind w:left="567" w:hanging="567"/>
        <w:jc w:val="both"/>
        <w:rPr>
          <w:rFonts w:cs="Times New Roman"/>
        </w:rPr>
      </w:pPr>
      <w:r>
        <w:t>V prípade, ak odovzdaný zoznam akcionárov obsah</w:t>
      </w:r>
      <w:r w:rsidR="00BA4EB9">
        <w:t>uje nedostatky v zmysle bodu 4.4</w:t>
      </w:r>
      <w:r w:rsidR="00863F6F" w:rsidRPr="00AD0750">
        <w:rPr>
          <w:rFonts w:cs="Times New Roman"/>
          <w:szCs w:val="24"/>
        </w:rPr>
        <w:t xml:space="preserve">, </w:t>
      </w:r>
      <w:r w:rsidRPr="00AD0750">
        <w:rPr>
          <w:rFonts w:cs="Times New Roman"/>
          <w:szCs w:val="24"/>
        </w:rPr>
        <w:t>Centrálny depozitár bezodkladne informuje emitenta o zistených nedostatkoch a vyzve ho na ich opravu alebo doplnenie</w:t>
      </w:r>
      <w:r>
        <w:rPr>
          <w:rFonts w:cs="Times New Roman"/>
          <w:szCs w:val="24"/>
        </w:rPr>
        <w:t xml:space="preserve">. </w:t>
      </w:r>
      <w:r w:rsidRPr="00AD0750">
        <w:rPr>
          <w:rFonts w:cs="Times New Roman"/>
          <w:szCs w:val="24"/>
        </w:rPr>
        <w:t>E</w:t>
      </w:r>
      <w:r w:rsidR="00863F6F" w:rsidRPr="00AD0750">
        <w:rPr>
          <w:rFonts w:cs="Times New Roman"/>
          <w:szCs w:val="24"/>
        </w:rPr>
        <w:t xml:space="preserve">mitent </w:t>
      </w:r>
      <w:r w:rsidRPr="00AD0750">
        <w:rPr>
          <w:rFonts w:cs="Times New Roman"/>
          <w:szCs w:val="24"/>
        </w:rPr>
        <w:t xml:space="preserve">je na základe výzvy Centrálneho depozitára </w:t>
      </w:r>
      <w:r w:rsidR="00863F6F" w:rsidRPr="00AD0750">
        <w:rPr>
          <w:rFonts w:cs="Times New Roman"/>
          <w:szCs w:val="24"/>
        </w:rPr>
        <w:t xml:space="preserve">povinný bezodkladne </w:t>
      </w:r>
      <w:r w:rsidR="00C62913" w:rsidRPr="00AD0750">
        <w:rPr>
          <w:rFonts w:cs="Times New Roman"/>
          <w:szCs w:val="24"/>
        </w:rPr>
        <w:t>predložiť opravený, resp. správny</w:t>
      </w:r>
      <w:r w:rsidR="00863F6F" w:rsidRPr="00AD0750">
        <w:rPr>
          <w:rFonts w:cs="Times New Roman"/>
          <w:szCs w:val="24"/>
        </w:rPr>
        <w:t xml:space="preserve"> </w:t>
      </w:r>
      <w:r w:rsidR="00C62913" w:rsidRPr="00AD0750">
        <w:rPr>
          <w:rFonts w:cs="Times New Roman"/>
          <w:szCs w:val="24"/>
        </w:rPr>
        <w:t>zoznam akcionárov</w:t>
      </w:r>
      <w:r w:rsidR="00863F6F" w:rsidRPr="00AD0750">
        <w:rPr>
          <w:rFonts w:cs="Times New Roman"/>
          <w:szCs w:val="24"/>
        </w:rPr>
        <w:t xml:space="preserve"> spôsobom stanoveným v Obchodných podmienkach, pričom uvedie že ide o opravu </w:t>
      </w:r>
      <w:r w:rsidR="00C62913" w:rsidRPr="00AD0750">
        <w:rPr>
          <w:rFonts w:cs="Times New Roman"/>
          <w:szCs w:val="24"/>
        </w:rPr>
        <w:t>alebo doplnenie pôvodn</w:t>
      </w:r>
      <w:r w:rsidR="00BA4EB9">
        <w:rPr>
          <w:rFonts w:cs="Times New Roman"/>
          <w:szCs w:val="24"/>
        </w:rPr>
        <w:t xml:space="preserve">e odovzdaného </w:t>
      </w:r>
      <w:r w:rsidR="00C62913" w:rsidRPr="00AD0750">
        <w:rPr>
          <w:rFonts w:cs="Times New Roman"/>
          <w:szCs w:val="24"/>
        </w:rPr>
        <w:t>zoznamu akcionárov</w:t>
      </w:r>
      <w:r w:rsidR="00863F6F" w:rsidRPr="00AD0750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V prípade, ak emitent ani na základe výzvy Centrálneho depozitára v primeranej lehote nepredloží </w:t>
      </w:r>
      <w:r w:rsidRPr="00AD0750">
        <w:rPr>
          <w:rFonts w:cs="Times New Roman"/>
          <w:szCs w:val="24"/>
        </w:rPr>
        <w:t>opravený, resp. správny zoznam akcionárov</w:t>
      </w:r>
      <w:r>
        <w:rPr>
          <w:rFonts w:cs="Times New Roman"/>
          <w:szCs w:val="24"/>
        </w:rPr>
        <w:t>, Centrálny depozitár je oprávnený odstúpiť od Zmluvy o vedení zoznamu akcionárov.</w:t>
      </w:r>
    </w:p>
    <w:p w:rsidR="00410897" w:rsidRPr="00410897" w:rsidRDefault="007A7F08" w:rsidP="00681A93">
      <w:pPr>
        <w:pStyle w:val="Odsekzoznamu"/>
        <w:numPr>
          <w:ilvl w:val="0"/>
          <w:numId w:val="3"/>
        </w:numPr>
        <w:ind w:left="567" w:hanging="567"/>
        <w:jc w:val="both"/>
        <w:rPr>
          <w:rFonts w:cs="Times New Roman"/>
        </w:rPr>
      </w:pPr>
      <w:r w:rsidRPr="007A7F08">
        <w:rPr>
          <w:rFonts w:cs="Times New Roman"/>
          <w:szCs w:val="24"/>
        </w:rPr>
        <w:t>Zodpovednosť za škodu, ktorá vznikne v dôsledku skutočností uvedených v</w:t>
      </w:r>
      <w:r w:rsidR="00AD0750">
        <w:rPr>
          <w:rFonts w:cs="Times New Roman"/>
          <w:szCs w:val="24"/>
        </w:rPr>
        <w:t> bode 4.4 a</w:t>
      </w:r>
      <w:r w:rsidR="00BA4EB9">
        <w:rPr>
          <w:rFonts w:cs="Times New Roman"/>
          <w:szCs w:val="24"/>
        </w:rPr>
        <w:t>ž 4.6</w:t>
      </w:r>
      <w:r w:rsidRPr="007A7F08">
        <w:rPr>
          <w:rFonts w:cs="Times New Roman"/>
          <w:szCs w:val="24"/>
        </w:rPr>
        <w:t>, znáša v plnom rozsahu emitent.</w:t>
      </w:r>
      <w:r w:rsidR="000143E9">
        <w:t xml:space="preserve"> </w:t>
      </w:r>
    </w:p>
    <w:p w:rsidR="00E21D34" w:rsidRPr="00E21D34" w:rsidRDefault="00410897" w:rsidP="00E21D34">
      <w:pPr>
        <w:pStyle w:val="Odsekzoznamu"/>
        <w:numPr>
          <w:ilvl w:val="0"/>
          <w:numId w:val="3"/>
        </w:numPr>
        <w:ind w:left="567" w:hanging="567"/>
        <w:jc w:val="both"/>
        <w:rPr>
          <w:rFonts w:cs="Times New Roman"/>
        </w:rPr>
      </w:pPr>
      <w:r w:rsidRPr="00AD2B70">
        <w:t>V prípade, ak emitent odovzdá z dôvodu nesplatenia všetkých akcií emisie, zoznam akcionárov</w:t>
      </w:r>
      <w:r w:rsidR="00EA7657">
        <w:t>, ktorý neobsahuje identifikáciu všetkých akcionárov</w:t>
      </w:r>
      <w:r w:rsidRPr="00AD2B70">
        <w:t xml:space="preserve">, je povinný bez zbytočného odkladu po </w:t>
      </w:r>
      <w:r w:rsidRPr="00AD2B70">
        <w:lastRenderedPageBreak/>
        <w:t xml:space="preserve">splatení akcie doplniť zoznam akcionárov o príslušné údaje </w:t>
      </w:r>
      <w:r w:rsidR="00EA7657">
        <w:t>o akcionárovi a </w:t>
      </w:r>
      <w:r w:rsidR="005E1FFA">
        <w:t>počte</w:t>
      </w:r>
      <w:r w:rsidR="00EA7657">
        <w:t xml:space="preserve"> kusov CP, ktoré vlastní</w:t>
      </w:r>
      <w:r w:rsidR="005E1FFA">
        <w:t xml:space="preserve">. O doplnenie údajov podľa predchádzajúcej vety emitent </w:t>
      </w:r>
      <w:r w:rsidR="009B4A1A">
        <w:t>odovzdáva C</w:t>
      </w:r>
      <w:r w:rsidR="00CE3A44">
        <w:t>entrálnemu</w:t>
      </w:r>
      <w:r w:rsidR="005E1FFA">
        <w:t xml:space="preserve"> depozi</w:t>
      </w:r>
      <w:r w:rsidR="009B4A1A">
        <w:t>tár</w:t>
      </w:r>
      <w:r w:rsidR="00CE3A44">
        <w:t>u</w:t>
      </w:r>
      <w:r w:rsidR="009B4A1A">
        <w:t xml:space="preserve"> spôsobom podľa bodu 4.5.</w:t>
      </w:r>
    </w:p>
    <w:p w:rsidR="00E21D34" w:rsidRPr="00E21D34" w:rsidRDefault="00821C50" w:rsidP="00E21D34">
      <w:pPr>
        <w:pStyle w:val="Odsekzoznamu"/>
        <w:numPr>
          <w:ilvl w:val="0"/>
          <w:numId w:val="3"/>
        </w:numPr>
        <w:ind w:left="567" w:hanging="567"/>
        <w:jc w:val="both"/>
        <w:rPr>
          <w:rFonts w:cs="Times New Roman"/>
        </w:rPr>
      </w:pPr>
      <w:r>
        <w:t>Po vykonaní registrácie zoznamu akcionárov odovzdá Centrálny depozitár emitentovi  zaregistrovaný zoznam akcionárov a údaj o pridelenom ČEM. V prípade, ak nastanú skutočnosti podľa bodu 4.9 Obchodných podmienok, Centrálny depozitár odovzdá emitentovi  zaregistrovaný zoznam akcionárov až po doplnení  údajov o všetkých akcionároch a CP, ktoré vlastnia.</w:t>
      </w:r>
    </w:p>
    <w:p w:rsidR="00E21D34" w:rsidRPr="00E21D34" w:rsidRDefault="00E21D34" w:rsidP="00E21D34">
      <w:pPr>
        <w:pStyle w:val="Odsekzoznamu"/>
        <w:numPr>
          <w:ilvl w:val="0"/>
          <w:numId w:val="3"/>
        </w:numPr>
        <w:ind w:left="567" w:hanging="567"/>
        <w:jc w:val="both"/>
        <w:rPr>
          <w:rFonts w:cs="Times New Roman"/>
        </w:rPr>
      </w:pPr>
      <w:r>
        <w:t>Centrálny depozitár je oprávnený v prípade odovzdávania zoznamu akcionárov, ktorý obsahuje viac ako desať akcionárov, požadovať od emitenta odovzdanie zoznamu akcionárov prostredníctvom technických nosičov údajov.</w:t>
      </w:r>
    </w:p>
    <w:p w:rsidR="002E6A8C" w:rsidRDefault="002E6A8C" w:rsidP="002E6A8C">
      <w:pPr>
        <w:ind w:firstLine="0"/>
        <w:jc w:val="both"/>
        <w:rPr>
          <w:rFonts w:cs="Times New Roman"/>
        </w:rPr>
      </w:pPr>
    </w:p>
    <w:p w:rsidR="00681A93" w:rsidRDefault="00681A93" w:rsidP="00747D87">
      <w:pPr>
        <w:pStyle w:val="Nadpis2"/>
        <w:numPr>
          <w:ilvl w:val="0"/>
          <w:numId w:val="13"/>
        </w:numPr>
        <w:ind w:left="567" w:hanging="567"/>
      </w:pPr>
      <w:r>
        <w:t xml:space="preserve">ZÁPIS ZMIEN </w:t>
      </w:r>
      <w:r w:rsidR="00795D7E">
        <w:t>V SÚVISLOSTI S VEDENÍM ZOZNAMU AKCIONÁROV</w:t>
      </w:r>
      <w:r w:rsidR="00A3206A">
        <w:t xml:space="preserve"> </w:t>
      </w:r>
    </w:p>
    <w:p w:rsidR="00681A93" w:rsidRDefault="00681A93" w:rsidP="00681A93"/>
    <w:p w:rsidR="00681A93" w:rsidRPr="00681A93" w:rsidRDefault="00681A93" w:rsidP="00747D87">
      <w:pPr>
        <w:pStyle w:val="Odsekzoznamu"/>
        <w:numPr>
          <w:ilvl w:val="0"/>
          <w:numId w:val="27"/>
        </w:numPr>
        <w:ind w:left="567" w:hanging="567"/>
        <w:jc w:val="both"/>
      </w:pPr>
      <w:r w:rsidRPr="00681A93">
        <w:rPr>
          <w:rFonts w:cs="Times New Roman"/>
        </w:rPr>
        <w:t xml:space="preserve">Centrálny depozitár vykoná </w:t>
      </w:r>
      <w:r>
        <w:rPr>
          <w:rFonts w:cs="Times New Roman"/>
        </w:rPr>
        <w:t>na základe požiadavky emitenta nasledovné zmeny v</w:t>
      </w:r>
      <w:r w:rsidR="00795D7E">
        <w:rPr>
          <w:rFonts w:cs="Times New Roman"/>
        </w:rPr>
        <w:t> súvislosti s vedením zoznamu</w:t>
      </w:r>
      <w:r>
        <w:rPr>
          <w:rFonts w:cs="Times New Roman"/>
        </w:rPr>
        <w:t xml:space="preserve"> akcionárov:</w:t>
      </w:r>
    </w:p>
    <w:p w:rsidR="00747D87" w:rsidRDefault="00795D7E" w:rsidP="00747D87">
      <w:pPr>
        <w:pStyle w:val="Odsekzoznamu"/>
        <w:numPr>
          <w:ilvl w:val="0"/>
          <w:numId w:val="28"/>
        </w:numPr>
        <w:ind w:left="924" w:hanging="357"/>
        <w:jc w:val="both"/>
      </w:pPr>
      <w:r>
        <w:t>zápis zmeny akcionára v zozname akcionárov,</w:t>
      </w:r>
    </w:p>
    <w:p w:rsidR="00747D87" w:rsidRDefault="00795D7E" w:rsidP="00747D87">
      <w:pPr>
        <w:pStyle w:val="Odsekzoznamu"/>
        <w:numPr>
          <w:ilvl w:val="0"/>
          <w:numId w:val="28"/>
        </w:numPr>
        <w:ind w:left="924" w:hanging="357"/>
        <w:jc w:val="both"/>
      </w:pPr>
      <w:r>
        <w:t xml:space="preserve">zápis zmeny </w:t>
      </w:r>
      <w:r w:rsidR="00222425">
        <w:t xml:space="preserve">identifikačných </w:t>
      </w:r>
      <w:r>
        <w:t>údajov o</w:t>
      </w:r>
      <w:r w:rsidR="000D12F9">
        <w:t> </w:t>
      </w:r>
      <w:r>
        <w:t>akcionárovi,</w:t>
      </w:r>
    </w:p>
    <w:p w:rsidR="00747D87" w:rsidRDefault="000D12F9" w:rsidP="00747D87">
      <w:pPr>
        <w:pStyle w:val="Odsekzoznamu"/>
        <w:numPr>
          <w:ilvl w:val="0"/>
          <w:numId w:val="28"/>
        </w:numPr>
        <w:ind w:left="924" w:hanging="357"/>
        <w:jc w:val="both"/>
      </w:pPr>
      <w:r>
        <w:t>zápis zmeny údajov o emitentovi,</w:t>
      </w:r>
    </w:p>
    <w:p w:rsidR="00747D87" w:rsidRDefault="000D12F9" w:rsidP="00747D87">
      <w:pPr>
        <w:pStyle w:val="Odsekzoznamu"/>
        <w:numPr>
          <w:ilvl w:val="0"/>
          <w:numId w:val="28"/>
        </w:numPr>
        <w:ind w:left="924" w:hanging="357"/>
        <w:jc w:val="both"/>
      </w:pPr>
      <w:r>
        <w:t>zápis zmeny údajov o emisii v prípade zmeny druhu akcií</w:t>
      </w:r>
      <w:r w:rsidR="00E21D34">
        <w:t>,</w:t>
      </w:r>
      <w:r>
        <w:t xml:space="preserve"> menovi</w:t>
      </w:r>
      <w:r w:rsidR="00E21D34">
        <w:t xml:space="preserve">tej hodnoty akcií z SKK na EURO alebo odčíslovanie akcií daného </w:t>
      </w:r>
      <w:r w:rsidR="00747D87">
        <w:t xml:space="preserve">zoznamu akcionárov identifikovaného </w:t>
      </w:r>
      <w:r w:rsidR="00E21D34">
        <w:t>ČEM</w:t>
      </w:r>
      <w:r w:rsidR="00747D87">
        <w:t>,</w:t>
      </w:r>
    </w:p>
    <w:p w:rsidR="00681A93" w:rsidRDefault="00A3206A" w:rsidP="00747D87">
      <w:pPr>
        <w:pStyle w:val="Odsekzoznamu"/>
        <w:numPr>
          <w:ilvl w:val="0"/>
          <w:numId w:val="28"/>
        </w:numPr>
        <w:ind w:left="924" w:hanging="357"/>
        <w:jc w:val="both"/>
      </w:pPr>
      <w:r>
        <w:t>zápis zmien v zoz</w:t>
      </w:r>
      <w:r w:rsidR="00F3446D">
        <w:t xml:space="preserve">name akcionárov v prípade zmeny </w:t>
      </w:r>
      <w:r w:rsidR="004F0EFD">
        <w:t xml:space="preserve">počtu akcií, menovitej hodnoty akcií, </w:t>
      </w:r>
      <w:r>
        <w:t>základného imania</w:t>
      </w:r>
      <w:r w:rsidR="00D22EAE">
        <w:t xml:space="preserve">, </w:t>
      </w:r>
      <w:r w:rsidR="00490FE7">
        <w:t> postupu podľa § 17 ZOCP</w:t>
      </w:r>
      <w:r w:rsidR="00D22EAE">
        <w:t xml:space="preserve">, vyhlásenia akcií za neplatné podľa príslušných </w:t>
      </w:r>
      <w:r w:rsidR="00D22EAE">
        <w:lastRenderedPageBreak/>
        <w:t>ustanovení Obchodného zákonníka</w:t>
      </w:r>
      <w:r>
        <w:t xml:space="preserve"> podľa bodu </w:t>
      </w:r>
      <w:r w:rsidR="00D22EAE">
        <w:t>9 Obchodných podmienok.</w:t>
      </w:r>
    </w:p>
    <w:p w:rsidR="00795D7E" w:rsidRDefault="00795D7E" w:rsidP="00795D7E">
      <w:pPr>
        <w:pStyle w:val="Odsekzoznamu"/>
        <w:ind w:firstLine="0"/>
        <w:jc w:val="both"/>
      </w:pPr>
    </w:p>
    <w:p w:rsidR="00795D7E" w:rsidRPr="00FE54AF" w:rsidRDefault="00795D7E" w:rsidP="00747D87">
      <w:pPr>
        <w:pStyle w:val="Nadpis2"/>
        <w:numPr>
          <w:ilvl w:val="0"/>
          <w:numId w:val="13"/>
        </w:numPr>
        <w:ind w:left="567" w:hanging="567"/>
      </w:pPr>
      <w:r>
        <w:t xml:space="preserve">ZÁPIS ZMENY AKCIONÁRA V ZOZNAME AKCIONÁROV A ZÁPIS ZMENY </w:t>
      </w:r>
      <w:r w:rsidR="00222425">
        <w:t xml:space="preserve">IDENTIFIKAČNÝCH </w:t>
      </w:r>
      <w:r>
        <w:t>ÚDAJOV O AKCIONÁROVI</w:t>
      </w:r>
    </w:p>
    <w:p w:rsidR="009A308E" w:rsidRDefault="00795D7E" w:rsidP="00747D87">
      <w:pPr>
        <w:pStyle w:val="Odsekzoznamu"/>
        <w:numPr>
          <w:ilvl w:val="0"/>
          <w:numId w:val="20"/>
        </w:numPr>
        <w:spacing w:before="240"/>
        <w:ind w:left="567" w:hanging="567"/>
        <w:jc w:val="both"/>
        <w:rPr>
          <w:rFonts w:cs="Times New Roman"/>
        </w:rPr>
      </w:pPr>
      <w:r w:rsidRPr="00A21084">
        <w:rPr>
          <w:rFonts w:cs="Times New Roman"/>
        </w:rPr>
        <w:t xml:space="preserve">Emitent je povinný </w:t>
      </w:r>
      <w:r>
        <w:rPr>
          <w:rFonts w:cs="Times New Roman"/>
        </w:rPr>
        <w:t>požiadať Centrálny depozitár o zápis zmeny akcionára bezodkladne po tom</w:t>
      </w:r>
      <w:r w:rsidRPr="00A21084">
        <w:rPr>
          <w:rFonts w:cs="Times New Roman"/>
        </w:rPr>
        <w:t xml:space="preserve">, ako </w:t>
      </w:r>
      <w:r>
        <w:rPr>
          <w:rFonts w:cs="Times New Roman"/>
        </w:rPr>
        <w:t>mu je takáto zmena preukázaná, a to prostredníctvom príkazu</w:t>
      </w:r>
      <w:r w:rsidR="009A308E">
        <w:rPr>
          <w:rFonts w:cs="Times New Roman"/>
        </w:rPr>
        <w:t>:</w:t>
      </w:r>
    </w:p>
    <w:p w:rsidR="00747D87" w:rsidRDefault="000E2468" w:rsidP="00747D87">
      <w:pPr>
        <w:pStyle w:val="Odsekzoznamu"/>
        <w:numPr>
          <w:ilvl w:val="0"/>
          <w:numId w:val="30"/>
        </w:numPr>
        <w:spacing w:before="240"/>
        <w:ind w:left="867" w:hanging="357"/>
        <w:jc w:val="both"/>
        <w:rPr>
          <w:rFonts w:cs="Times New Roman"/>
        </w:rPr>
      </w:pPr>
      <w:r>
        <w:rPr>
          <w:rFonts w:cs="Times New Roman"/>
        </w:rPr>
        <w:t xml:space="preserve">podaného osobne na prevádzkovom pracovisku Centrálneho depozitára alebo doručeného poštou </w:t>
      </w:r>
      <w:r w:rsidR="00795D7E">
        <w:rPr>
          <w:rFonts w:cs="Times New Roman"/>
        </w:rPr>
        <w:t>na predpísanom formulár</w:t>
      </w:r>
      <w:r w:rsidR="009A308E">
        <w:rPr>
          <w:rFonts w:cs="Times New Roman"/>
        </w:rPr>
        <w:t>i v</w:t>
      </w:r>
      <w:r w:rsidR="00CE0D87">
        <w:rPr>
          <w:rFonts w:cs="Times New Roman"/>
        </w:rPr>
        <w:t xml:space="preserve"> listinnej </w:t>
      </w:r>
      <w:r w:rsidR="009A308E">
        <w:rPr>
          <w:rFonts w:cs="Times New Roman"/>
        </w:rPr>
        <w:t>forme, ktorý obsahuje všetky predpísané údaje, alebo</w:t>
      </w:r>
    </w:p>
    <w:p w:rsidR="009A308E" w:rsidRPr="00747D87" w:rsidRDefault="000E2468" w:rsidP="00747D87">
      <w:pPr>
        <w:pStyle w:val="Odsekzoznamu"/>
        <w:numPr>
          <w:ilvl w:val="0"/>
          <w:numId w:val="30"/>
        </w:numPr>
        <w:spacing w:before="240"/>
        <w:ind w:left="867" w:hanging="357"/>
        <w:jc w:val="both"/>
        <w:rPr>
          <w:rFonts w:cs="Times New Roman"/>
        </w:rPr>
      </w:pPr>
      <w:r>
        <w:rPr>
          <w:rFonts w:cs="Times New Roman"/>
        </w:rPr>
        <w:t>podaného osobne na prevádzkovom pracovisku Centrálneho depozitára</w:t>
      </w:r>
      <w:r w:rsidRPr="00747D87">
        <w:rPr>
          <w:rFonts w:cs="Times New Roman"/>
        </w:rPr>
        <w:t xml:space="preserve"> </w:t>
      </w:r>
      <w:r w:rsidR="009A308E" w:rsidRPr="00747D87">
        <w:rPr>
          <w:rFonts w:cs="Times New Roman"/>
        </w:rPr>
        <w:t>prostredníctvom technických nosičov údajov v súlade s </w:t>
      </w:r>
      <w:r w:rsidR="005F23D3" w:rsidRPr="00747D87">
        <w:rPr>
          <w:rFonts w:cs="Times New Roman"/>
        </w:rPr>
        <w:t>bodom 10 Obchodných podmienok</w:t>
      </w:r>
    </w:p>
    <w:p w:rsidR="000D12F9" w:rsidRPr="00AF490D" w:rsidRDefault="009A308E" w:rsidP="00AF490D">
      <w:pPr>
        <w:pStyle w:val="Odsekzoznamu"/>
        <w:numPr>
          <w:ilvl w:val="0"/>
          <w:numId w:val="20"/>
        </w:numPr>
        <w:spacing w:before="240"/>
        <w:ind w:left="567" w:hanging="567"/>
        <w:jc w:val="both"/>
        <w:rPr>
          <w:rFonts w:cs="Times New Roman"/>
        </w:rPr>
      </w:pPr>
      <w:r w:rsidRPr="00AF490D">
        <w:rPr>
          <w:rFonts w:cs="Times New Roman"/>
        </w:rPr>
        <w:t xml:space="preserve">Emitent je povinný požiadať Centrálny depozitár o zápis zmeny </w:t>
      </w:r>
      <w:r w:rsidR="00222425" w:rsidRPr="00AF490D">
        <w:rPr>
          <w:rFonts w:cs="Times New Roman"/>
        </w:rPr>
        <w:t xml:space="preserve">identifikačných </w:t>
      </w:r>
      <w:r w:rsidRPr="00AF490D">
        <w:rPr>
          <w:rFonts w:cs="Times New Roman"/>
        </w:rPr>
        <w:t>údajov o akcionárovi bezodkladne po tom, ako mu je takáto zmena preukázaná</w:t>
      </w:r>
      <w:r w:rsidR="000E2468" w:rsidRPr="00AF490D">
        <w:rPr>
          <w:rFonts w:cs="Times New Roman"/>
        </w:rPr>
        <w:t>.</w:t>
      </w:r>
      <w:r w:rsidR="00776FC6" w:rsidRPr="00AF490D">
        <w:rPr>
          <w:rFonts w:cs="Times New Roman"/>
        </w:rPr>
        <w:t xml:space="preserve"> V prípade požiadavky na službu podľa </w:t>
      </w:r>
      <w:r w:rsidR="00A62278" w:rsidRPr="00AF490D">
        <w:rPr>
          <w:rFonts w:cs="Times New Roman"/>
        </w:rPr>
        <w:t>bodu</w:t>
      </w:r>
      <w:r w:rsidR="00776FC6" w:rsidRPr="00AF490D">
        <w:rPr>
          <w:rFonts w:cs="Times New Roman"/>
        </w:rPr>
        <w:t>. 6.1 písm. a)</w:t>
      </w:r>
      <w:r w:rsidR="00776FC6" w:rsidRPr="00AF490D">
        <w:rPr>
          <w:rFonts w:cs="Times New Roman"/>
          <w:szCs w:val="24"/>
        </w:rPr>
        <w:t xml:space="preserve"> tohto bodu doručovanej poštou je emitent povinný uhradiť preddavok v plnej výške poplatku za poskytnutie tejto služby </w:t>
      </w:r>
      <w:r w:rsidR="00776FC6" w:rsidRPr="00AF490D">
        <w:rPr>
          <w:rFonts w:cs="Times New Roman"/>
        </w:rPr>
        <w:t>v súlade so základnou sadzbou stanovenou Cenníkom na základe vystavenej preddavkovej faktúry. Preddavkovú faktúru doručí Centrálny depozitár</w:t>
      </w:r>
      <w:r w:rsidR="00776FC6" w:rsidRPr="00AF490D">
        <w:rPr>
          <w:rFonts w:cs="Times New Roman"/>
          <w:szCs w:val="24"/>
        </w:rPr>
        <w:t xml:space="preserve"> emitentovi bezodkladne po doručení príkazu emitenta. Lehota na vykonanie požiadavky na službu, stanovená v zmysle týchto Obchodných podmienok, začína plynúť nasledujúci pracovný deň odo dňa uhradenia preddavku podľa tohto ustanovenia. </w:t>
      </w:r>
      <w:r w:rsidR="00776FC6" w:rsidRPr="00AF490D">
        <w:rPr>
          <w:rFonts w:cs="Times New Roman"/>
        </w:rPr>
        <w:t xml:space="preserve">Po </w:t>
      </w:r>
      <w:r w:rsidR="00A931DB" w:rsidRPr="00AF490D">
        <w:rPr>
          <w:rFonts w:cs="Times New Roman"/>
        </w:rPr>
        <w:t>vykonaní služby</w:t>
      </w:r>
      <w:r w:rsidR="00776FC6" w:rsidRPr="00AF490D">
        <w:rPr>
          <w:rFonts w:cs="Times New Roman"/>
        </w:rPr>
        <w:t xml:space="preserve"> vystaví Centrálny depozitár realizačnú faktúru s odpočítaným uhradeným preddavkom za poskytnuté služby. V prípade, ak emitent neuhradí preddavok v zmysle </w:t>
      </w:r>
      <w:r w:rsidR="00776FC6" w:rsidRPr="00AF490D">
        <w:rPr>
          <w:rFonts w:cs="Times New Roman"/>
        </w:rPr>
        <w:lastRenderedPageBreak/>
        <w:t xml:space="preserve">tohto ustanovenia v lehote 6 mesiacov od nadobudnutia splatnosti preddavkovej faktúry, Centrálny depozitár podaný príkaz odmietne a požadovanú službu nevykoná. Týmto ustanovením nie je dotknutá povinnosť </w:t>
      </w:r>
      <w:r w:rsidR="00776FC6" w:rsidRPr="00625844">
        <w:t xml:space="preserve">uhradiť aj ceny súvisiace </w:t>
      </w:r>
      <w:r w:rsidR="00776FC6">
        <w:t>s poskytnutím ďalších služieb.</w:t>
      </w:r>
    </w:p>
    <w:p w:rsidR="00747D87" w:rsidRPr="00747D87" w:rsidRDefault="000D12F9" w:rsidP="00747D87">
      <w:pPr>
        <w:pStyle w:val="Odsekzoznamu"/>
        <w:numPr>
          <w:ilvl w:val="0"/>
          <w:numId w:val="20"/>
        </w:numPr>
        <w:spacing w:before="240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Ustanovenie bodu 6.2 sa </w:t>
      </w:r>
      <w:r w:rsidR="00A20296">
        <w:rPr>
          <w:rFonts w:cs="Times New Roman"/>
        </w:rPr>
        <w:t xml:space="preserve">primerane </w:t>
      </w:r>
      <w:r>
        <w:rPr>
          <w:rFonts w:cs="Times New Roman"/>
        </w:rPr>
        <w:t xml:space="preserve">uplatňuje aj v prípade </w:t>
      </w:r>
      <w:r w:rsidRPr="000D12F9">
        <w:rPr>
          <w:color w:val="000000"/>
        </w:rPr>
        <w:t xml:space="preserve">zmeny počtu akcií, ktoré vlastní akcionár - </w:t>
      </w:r>
      <w:r>
        <w:t>v prípade, ak emitent postupoval v zmysle § 17 ods. 7 ZOCP alebo v súlade s Obchodným zákonníkom vyhlásil emitent listinné akcie za neplatné.</w:t>
      </w:r>
    </w:p>
    <w:p w:rsidR="00747D87" w:rsidRPr="00747D87" w:rsidRDefault="00821C50" w:rsidP="00747D87">
      <w:pPr>
        <w:pStyle w:val="Odsekzoznamu"/>
        <w:numPr>
          <w:ilvl w:val="0"/>
          <w:numId w:val="20"/>
        </w:numPr>
        <w:spacing w:before="240"/>
        <w:ind w:left="567" w:hanging="567"/>
        <w:jc w:val="both"/>
        <w:rPr>
          <w:rFonts w:cs="Times New Roman"/>
        </w:rPr>
      </w:pPr>
      <w:r>
        <w:t xml:space="preserve">Centrálny depozitár je oprávnený v prípade zápisu zmeny akcionárov alebo zápisu zmeny  </w:t>
      </w:r>
      <w:r w:rsidR="00222425">
        <w:t xml:space="preserve">identifikačných </w:t>
      </w:r>
      <w:r>
        <w:t>údajov o akcionároch, ktorých počet prevyšuje desať, požadovať od emitenta predloženie príkazov prostredníctvom technických nosičov údajov.</w:t>
      </w:r>
    </w:p>
    <w:p w:rsidR="009D69D3" w:rsidRPr="00747D87" w:rsidRDefault="00747D87" w:rsidP="00747D87">
      <w:pPr>
        <w:pStyle w:val="Odsekzoznamu"/>
        <w:numPr>
          <w:ilvl w:val="0"/>
          <w:numId w:val="20"/>
        </w:numPr>
        <w:spacing w:before="240"/>
        <w:ind w:left="567" w:hanging="567"/>
        <w:jc w:val="both"/>
        <w:rPr>
          <w:rFonts w:cs="Times New Roman"/>
        </w:rPr>
      </w:pPr>
      <w:r>
        <w:rPr>
          <w:rFonts w:cs="Times New Roman"/>
          <w:szCs w:val="24"/>
        </w:rPr>
        <w:t>Centrálny depozitár vykoná na základe príkazu e</w:t>
      </w:r>
      <w:r w:rsidR="009D69D3" w:rsidRPr="00747D87">
        <w:rPr>
          <w:rFonts w:cs="Times New Roman"/>
          <w:szCs w:val="24"/>
        </w:rPr>
        <w:t>mitent</w:t>
      </w:r>
      <w:r>
        <w:rPr>
          <w:rFonts w:cs="Times New Roman"/>
          <w:szCs w:val="24"/>
        </w:rPr>
        <w:t>a</w:t>
      </w:r>
      <w:r w:rsidR="009D69D3" w:rsidRPr="00747D87">
        <w:rPr>
          <w:rFonts w:cs="Times New Roman"/>
          <w:szCs w:val="24"/>
        </w:rPr>
        <w:t xml:space="preserve"> zápis zmeny </w:t>
      </w:r>
      <w:r w:rsidR="00222425" w:rsidRPr="00747D87">
        <w:rPr>
          <w:rFonts w:cs="Times New Roman"/>
          <w:szCs w:val="24"/>
        </w:rPr>
        <w:t xml:space="preserve">identifikačných </w:t>
      </w:r>
      <w:r w:rsidR="009D69D3" w:rsidRPr="00747D87">
        <w:rPr>
          <w:rFonts w:cs="Times New Roman"/>
          <w:szCs w:val="24"/>
        </w:rPr>
        <w:t xml:space="preserve">údajov o akcionárovi vo  </w:t>
      </w:r>
      <w:r>
        <w:rPr>
          <w:rFonts w:cs="Times New Roman"/>
          <w:szCs w:val="24"/>
        </w:rPr>
        <w:t>všetkých</w:t>
      </w:r>
      <w:r w:rsidR="009D69D3" w:rsidRPr="00747D87">
        <w:rPr>
          <w:rFonts w:cs="Times New Roman"/>
          <w:szCs w:val="24"/>
        </w:rPr>
        <w:t xml:space="preserve"> zoznamoch akcionárov vedených v evidencii Centrálneho depozitára</w:t>
      </w:r>
      <w:r w:rsidR="003101ED">
        <w:rPr>
          <w:rFonts w:cs="Times New Roman"/>
          <w:szCs w:val="24"/>
        </w:rPr>
        <w:t xml:space="preserve"> pre predmetného emitenta</w:t>
      </w:r>
      <w:r w:rsidR="009D69D3" w:rsidRPr="00747D87">
        <w:rPr>
          <w:rFonts w:cs="Times New Roman"/>
          <w:szCs w:val="24"/>
        </w:rPr>
        <w:t>, pričom vykonanie zmeny v každom zozname akcionárov sa považuje za</w:t>
      </w:r>
      <w:r>
        <w:rPr>
          <w:rFonts w:cs="Times New Roman"/>
          <w:szCs w:val="24"/>
        </w:rPr>
        <w:t xml:space="preserve"> poskytnutie samostatnej služby</w:t>
      </w:r>
      <w:r w:rsidR="009D69D3" w:rsidRPr="00747D87">
        <w:rPr>
          <w:rFonts w:cs="Times New Roman"/>
          <w:szCs w:val="24"/>
        </w:rPr>
        <w:t>.</w:t>
      </w:r>
    </w:p>
    <w:p w:rsidR="00795D7E" w:rsidRDefault="00795D7E" w:rsidP="000D12F9">
      <w:pPr>
        <w:pStyle w:val="Odsekzoznamu"/>
        <w:ind w:firstLine="0"/>
        <w:jc w:val="both"/>
      </w:pPr>
    </w:p>
    <w:p w:rsidR="000D12F9" w:rsidRDefault="000D12F9" w:rsidP="00C662FE">
      <w:pPr>
        <w:pStyle w:val="Nadpis2"/>
        <w:numPr>
          <w:ilvl w:val="0"/>
          <w:numId w:val="13"/>
        </w:numPr>
        <w:ind w:left="567" w:hanging="567"/>
      </w:pPr>
      <w:r>
        <w:t>ZÁPIS A ZMENA ÚDAJOV O EMITENTOVI</w:t>
      </w:r>
    </w:p>
    <w:p w:rsidR="00C662FE" w:rsidRDefault="000D12F9" w:rsidP="00C662FE">
      <w:pPr>
        <w:pStyle w:val="Odsekzoznamu"/>
        <w:numPr>
          <w:ilvl w:val="0"/>
          <w:numId w:val="17"/>
        </w:numPr>
        <w:spacing w:before="240"/>
        <w:ind w:left="567" w:hanging="567"/>
        <w:jc w:val="both"/>
      </w:pPr>
      <w:r>
        <w:t>Centrálny depozitár vykoná zápis údajov o emitentovi vo svojej evidencii v súvislosti s vedením zoznamu akcionárov na základe údajov predložených v Zmluve o vedení zoznamu akcionárov.</w:t>
      </w:r>
    </w:p>
    <w:p w:rsidR="00C662FE" w:rsidRDefault="000D12F9" w:rsidP="00C662FE">
      <w:pPr>
        <w:pStyle w:val="Odsekzoznamu"/>
        <w:numPr>
          <w:ilvl w:val="0"/>
          <w:numId w:val="17"/>
        </w:numPr>
        <w:spacing w:before="240"/>
        <w:ind w:left="567" w:hanging="567"/>
        <w:jc w:val="both"/>
      </w:pPr>
      <w:r>
        <w:t xml:space="preserve">Emitent je povinný vykonať zmenu údajov o emitentovi, ktoré Centrálny depozitár eviduje v súvislosti s vedením zoznamu akcionárov bezodkladne po tom, ako takáto zmena nastane alebo nadobudne účinnosť, a to prostredníctvom </w:t>
      </w:r>
      <w:r w:rsidR="00471BE0">
        <w:t>príkazu podaného na predpísanom formulári</w:t>
      </w:r>
      <w:r>
        <w:t xml:space="preserve"> doručen</w:t>
      </w:r>
      <w:r w:rsidR="00471BE0">
        <w:t>om</w:t>
      </w:r>
      <w:r>
        <w:t xml:space="preserve"> osobne alebo poštou na adresu sídla Centrálneho depozitára.</w:t>
      </w:r>
    </w:p>
    <w:p w:rsidR="000D12F9" w:rsidRPr="00497FA5" w:rsidRDefault="000D12F9" w:rsidP="00C662FE">
      <w:pPr>
        <w:pStyle w:val="Odsekzoznamu"/>
        <w:numPr>
          <w:ilvl w:val="0"/>
          <w:numId w:val="17"/>
        </w:numPr>
        <w:spacing w:before="240"/>
        <w:ind w:left="567" w:hanging="567"/>
        <w:jc w:val="both"/>
      </w:pPr>
      <w:r>
        <w:lastRenderedPageBreak/>
        <w:t>Ustanovenie bodu 7.2</w:t>
      </w:r>
      <w:r w:rsidRPr="00497FA5">
        <w:t xml:space="preserve"> sa vzťahuje na nasledovné zmeny údajov o emi</w:t>
      </w:r>
      <w:r>
        <w:t>t</w:t>
      </w:r>
      <w:r w:rsidRPr="00497FA5">
        <w:t>e</w:t>
      </w:r>
      <w:r>
        <w:t>n</w:t>
      </w:r>
      <w:r w:rsidRPr="00497FA5">
        <w:t>tovi:</w:t>
      </w:r>
    </w:p>
    <w:p w:rsidR="00C662FE" w:rsidRDefault="000D12F9" w:rsidP="00C662FE">
      <w:pPr>
        <w:pStyle w:val="Odsekzoznamu"/>
        <w:numPr>
          <w:ilvl w:val="0"/>
          <w:numId w:val="18"/>
        </w:numPr>
        <w:spacing w:before="240"/>
        <w:ind w:left="924" w:hanging="357"/>
        <w:jc w:val="both"/>
      </w:pPr>
      <w:r>
        <w:t>obchodné meno,</w:t>
      </w:r>
    </w:p>
    <w:p w:rsidR="000D12F9" w:rsidRDefault="000D12F9" w:rsidP="00C662FE">
      <w:pPr>
        <w:pStyle w:val="Odsekzoznamu"/>
        <w:numPr>
          <w:ilvl w:val="0"/>
          <w:numId w:val="18"/>
        </w:numPr>
        <w:spacing w:before="240"/>
        <w:ind w:left="924" w:hanging="357"/>
        <w:jc w:val="both"/>
      </w:pPr>
      <w:r>
        <w:t>sídlo.</w:t>
      </w:r>
    </w:p>
    <w:p w:rsidR="000D12F9" w:rsidRPr="009D51B8" w:rsidRDefault="000D12F9" w:rsidP="00C662FE">
      <w:pPr>
        <w:pStyle w:val="Odsekzoznamu"/>
        <w:numPr>
          <w:ilvl w:val="0"/>
          <w:numId w:val="17"/>
        </w:numPr>
        <w:ind w:left="567" w:hanging="567"/>
        <w:jc w:val="both"/>
      </w:pPr>
      <w:r w:rsidRPr="00020A96">
        <w:rPr>
          <w:rFonts w:cs="Times New Roman"/>
        </w:rPr>
        <w:t>Emitent je okrem príslušn</w:t>
      </w:r>
      <w:r>
        <w:rPr>
          <w:rFonts w:cs="Times New Roman"/>
        </w:rPr>
        <w:t>ého formuláru</w:t>
      </w:r>
      <w:r w:rsidRPr="00020A96">
        <w:rPr>
          <w:rFonts w:cs="Times New Roman"/>
        </w:rPr>
        <w:t>, prostredníctvom ktor</w:t>
      </w:r>
      <w:r>
        <w:rPr>
          <w:rFonts w:cs="Times New Roman"/>
        </w:rPr>
        <w:t>ého</w:t>
      </w:r>
      <w:r w:rsidRPr="00020A96">
        <w:rPr>
          <w:rFonts w:cs="Times New Roman"/>
        </w:rPr>
        <w:t xml:space="preserve"> podáva príkaz Centrálnemu depozitáru</w:t>
      </w:r>
      <w:r>
        <w:rPr>
          <w:rFonts w:cs="Times New Roman"/>
        </w:rPr>
        <w:t xml:space="preserve"> na zmenu údajov o emitentovi</w:t>
      </w:r>
      <w:r w:rsidRPr="00020A96">
        <w:rPr>
          <w:rFonts w:cs="Times New Roman"/>
        </w:rPr>
        <w:t xml:space="preserve">, povinný k danej požiadavke na </w:t>
      </w:r>
      <w:r>
        <w:rPr>
          <w:rFonts w:cs="Times New Roman"/>
        </w:rPr>
        <w:t>službu</w:t>
      </w:r>
      <w:r w:rsidRPr="00020A96">
        <w:rPr>
          <w:rFonts w:cs="Times New Roman"/>
        </w:rPr>
        <w:t xml:space="preserve"> </w:t>
      </w:r>
      <w:r>
        <w:rPr>
          <w:rFonts w:cs="Times New Roman"/>
        </w:rPr>
        <w:t xml:space="preserve"> predložiť VOR nie starší ako tri mesiace k dátumu predloženia požiadavky na službu.</w:t>
      </w:r>
    </w:p>
    <w:p w:rsidR="009D51B8" w:rsidRPr="00B96D9C" w:rsidRDefault="009F387B" w:rsidP="00C662FE">
      <w:pPr>
        <w:pStyle w:val="Odsekzoznamu"/>
        <w:numPr>
          <w:ilvl w:val="0"/>
          <w:numId w:val="17"/>
        </w:numPr>
        <w:ind w:left="567" w:hanging="567"/>
        <w:jc w:val="both"/>
      </w:pPr>
      <w:r>
        <w:rPr>
          <w:rFonts w:cs="Times New Roman"/>
        </w:rPr>
        <w:t>Úradné overenie p</w:t>
      </w:r>
      <w:r w:rsidR="009D51B8">
        <w:rPr>
          <w:rFonts w:cs="Times New Roman"/>
        </w:rPr>
        <w:t>odpis</w:t>
      </w:r>
      <w:r>
        <w:rPr>
          <w:rFonts w:cs="Times New Roman"/>
        </w:rPr>
        <w:t>u</w:t>
      </w:r>
      <w:r w:rsidR="009D51B8">
        <w:rPr>
          <w:rFonts w:cs="Times New Roman"/>
        </w:rPr>
        <w:t xml:space="preserve"> emitenta na požiadavke na službu podľa tohto bodu 7 </w:t>
      </w:r>
      <w:r>
        <w:rPr>
          <w:rFonts w:cs="Times New Roman"/>
        </w:rPr>
        <w:t>sa nevyžaduje</w:t>
      </w:r>
      <w:r w:rsidR="009D51B8">
        <w:rPr>
          <w:rFonts w:cs="Times New Roman"/>
        </w:rPr>
        <w:t>.</w:t>
      </w:r>
    </w:p>
    <w:p w:rsidR="000D12F9" w:rsidRDefault="000D12F9" w:rsidP="000D12F9">
      <w:pPr>
        <w:pStyle w:val="Odsekzoznamu"/>
        <w:ind w:firstLine="0"/>
        <w:jc w:val="both"/>
      </w:pPr>
    </w:p>
    <w:p w:rsidR="000D12F9" w:rsidRDefault="000D12F9" w:rsidP="00C662FE">
      <w:pPr>
        <w:pStyle w:val="Nadpis2"/>
        <w:numPr>
          <w:ilvl w:val="0"/>
          <w:numId w:val="13"/>
        </w:numPr>
        <w:ind w:left="567" w:hanging="567"/>
      </w:pPr>
      <w:r>
        <w:t xml:space="preserve">ZMENA </w:t>
      </w:r>
      <w:r w:rsidR="00F0282C">
        <w:t>DRUHU A</w:t>
      </w:r>
      <w:r w:rsidR="00E21D34">
        <w:t>KCIÍ, ZMENA MENOVITEJ HODNOTY Z</w:t>
      </w:r>
      <w:r w:rsidR="00F0282C">
        <w:t> SKK NA EURO</w:t>
      </w:r>
      <w:r w:rsidR="00E21D34">
        <w:t xml:space="preserve">, ODČÍSLOVANIE AKCIÍ </w:t>
      </w:r>
      <w:r w:rsidR="00471BE0">
        <w:t>ZOZNAMU AKCINÁROV</w:t>
      </w:r>
    </w:p>
    <w:p w:rsidR="00C662FE" w:rsidRDefault="00F0282C" w:rsidP="00C662FE">
      <w:pPr>
        <w:pStyle w:val="Odsekzoznamu"/>
        <w:numPr>
          <w:ilvl w:val="0"/>
          <w:numId w:val="33"/>
        </w:numPr>
        <w:spacing w:before="240"/>
        <w:ind w:left="567" w:hanging="567"/>
        <w:jc w:val="both"/>
      </w:pPr>
      <w:r>
        <w:t xml:space="preserve">Emitent je povinný vykonať zmenu údajov o emisii (zmenu druhu </w:t>
      </w:r>
      <w:r w:rsidR="00E21D34">
        <w:t>akcií, zmenu menovitej hodnoty z</w:t>
      </w:r>
      <w:r>
        <w:t xml:space="preserve"> SKK na EURO), ktoré Centrálny depozitár eviduje v súvislosti s vedením zoznamu akcionárov bezodkladne po tom, ako takáto zmena nastane alebo nadobudne účinnosť, a to prostredníctvom </w:t>
      </w:r>
      <w:r w:rsidR="00852DB9">
        <w:t>príkazu podaného na predpísanom formulári</w:t>
      </w:r>
      <w:r>
        <w:t>.</w:t>
      </w:r>
    </w:p>
    <w:p w:rsidR="00C662FE" w:rsidRPr="00C662FE" w:rsidRDefault="000D12F9" w:rsidP="00C662FE">
      <w:pPr>
        <w:pStyle w:val="Odsekzoznamu"/>
        <w:numPr>
          <w:ilvl w:val="0"/>
          <w:numId w:val="33"/>
        </w:numPr>
        <w:spacing w:before="240"/>
        <w:ind w:left="567" w:hanging="567"/>
        <w:jc w:val="both"/>
      </w:pPr>
      <w:r w:rsidRPr="00C662FE">
        <w:rPr>
          <w:rFonts w:cs="Times New Roman"/>
        </w:rPr>
        <w:t>Emitent je okrem príslušného formuláru, prostredníctvom ktorého podáva príkaz Centrálnemu depozitáru na zmenu údajov o emisii, povinný k danej požiadavke na službu  predložiť VOR obsahujúci údaje v znení požadovanej zmeny.</w:t>
      </w:r>
    </w:p>
    <w:p w:rsidR="00C662FE" w:rsidRDefault="00471BE0" w:rsidP="00C662FE">
      <w:pPr>
        <w:pStyle w:val="Odsekzoznamu"/>
        <w:numPr>
          <w:ilvl w:val="0"/>
          <w:numId w:val="33"/>
        </w:numPr>
        <w:spacing w:before="240"/>
        <w:ind w:left="567" w:hanging="567"/>
        <w:jc w:val="both"/>
      </w:pPr>
      <w:r w:rsidRPr="00C662FE">
        <w:rPr>
          <w:rFonts w:cs="Times New Roman"/>
        </w:rPr>
        <w:t xml:space="preserve">Emitent podáva požiadavku na odčíslovanie akcií konkrétneho zoznamu akcionárov v evidencii Centrálneho depozitára na základe príkazu podaného </w:t>
      </w:r>
      <w:r>
        <w:t>prostredníctvom predpísaného formuláru.</w:t>
      </w:r>
    </w:p>
    <w:p w:rsidR="00471BE0" w:rsidRDefault="00471BE0" w:rsidP="00C662FE">
      <w:pPr>
        <w:pStyle w:val="Odsekzoznamu"/>
        <w:numPr>
          <w:ilvl w:val="0"/>
          <w:numId w:val="33"/>
        </w:numPr>
        <w:spacing w:before="240"/>
        <w:ind w:left="567" w:hanging="567"/>
        <w:jc w:val="both"/>
      </w:pPr>
      <w:r>
        <w:t>Požiadavku na službu podľa tohto bodu 8 podáva emitent osobne v sídle Centrálneho depozitára alebo poštou na adresu sídla Centrálneho depozitára.</w:t>
      </w:r>
    </w:p>
    <w:p w:rsidR="000D12F9" w:rsidRDefault="000D12F9" w:rsidP="000D12F9">
      <w:pPr>
        <w:pStyle w:val="Odsekzoznamu"/>
        <w:ind w:firstLine="0"/>
        <w:jc w:val="both"/>
      </w:pPr>
    </w:p>
    <w:p w:rsidR="000912E3" w:rsidRDefault="000912E3" w:rsidP="000D12F9">
      <w:pPr>
        <w:pStyle w:val="Odsekzoznamu"/>
        <w:ind w:firstLine="0"/>
        <w:jc w:val="both"/>
      </w:pPr>
    </w:p>
    <w:p w:rsidR="000912E3" w:rsidRDefault="000912E3" w:rsidP="000D12F9">
      <w:pPr>
        <w:pStyle w:val="Odsekzoznamu"/>
        <w:ind w:firstLine="0"/>
        <w:jc w:val="both"/>
      </w:pPr>
    </w:p>
    <w:p w:rsidR="00A56473" w:rsidRDefault="00A3206A" w:rsidP="00B15255">
      <w:pPr>
        <w:pStyle w:val="Nadpis2"/>
        <w:numPr>
          <w:ilvl w:val="0"/>
          <w:numId w:val="13"/>
        </w:numPr>
        <w:ind w:left="567" w:hanging="567"/>
      </w:pPr>
      <w:r>
        <w:lastRenderedPageBreak/>
        <w:t>ZÁPIS ZMIEN V ZOZNAME AKCIONÁROV V </w:t>
      </w:r>
      <w:r w:rsidR="006D37B1">
        <w:t>PRÍPADE</w:t>
      </w:r>
      <w:r>
        <w:t xml:space="preserve"> ZMENY </w:t>
      </w:r>
      <w:r w:rsidR="006D37B1">
        <w:t xml:space="preserve">POČTU </w:t>
      </w:r>
      <w:r w:rsidR="00490FE7">
        <w:t>AKCIÍ</w:t>
      </w:r>
      <w:r w:rsidR="006D37B1">
        <w:t>,  MENOVITEJ HODNOTY CP</w:t>
      </w:r>
      <w:r w:rsidR="00490FE7">
        <w:t>,</w:t>
      </w:r>
      <w:r w:rsidR="006D37B1">
        <w:t xml:space="preserve"> ZÁKLADNÉHO </w:t>
      </w:r>
      <w:r w:rsidR="00490FE7">
        <w:t>IMANIA A POSTUPU PODĽA § 17 ZOCP</w:t>
      </w:r>
      <w:r w:rsidR="00D22EAE">
        <w:t xml:space="preserve"> A VYHLÁSENIA AKCIÍ ZA NEPLATNÉ</w:t>
      </w:r>
    </w:p>
    <w:p w:rsidR="007552EF" w:rsidRDefault="001A35B4" w:rsidP="00B15255">
      <w:pPr>
        <w:pStyle w:val="Odsekzoznamu"/>
        <w:numPr>
          <w:ilvl w:val="0"/>
          <w:numId w:val="21"/>
        </w:numPr>
        <w:spacing w:before="240"/>
        <w:ind w:left="567" w:hanging="567"/>
        <w:jc w:val="both"/>
      </w:pPr>
      <w:r>
        <w:t>Cent</w:t>
      </w:r>
      <w:r w:rsidR="00490FE7">
        <w:t>rálny depozitár vykoná zápis zm</w:t>
      </w:r>
      <w:r>
        <w:t>en</w:t>
      </w:r>
      <w:r w:rsidR="00490FE7">
        <w:t>y</w:t>
      </w:r>
      <w:r>
        <w:t xml:space="preserve"> v zozname akcionárov  </w:t>
      </w:r>
      <w:r w:rsidR="00490FE7">
        <w:t xml:space="preserve">podľa tohto bodu 9 </w:t>
      </w:r>
      <w:r>
        <w:t>na základe</w:t>
      </w:r>
      <w:r w:rsidR="001E3921">
        <w:t xml:space="preserve"> príkazu emitenta podaného na predpísanom formulári.</w:t>
      </w:r>
      <w:r>
        <w:t xml:space="preserve"> </w:t>
      </w:r>
      <w:r w:rsidR="007552EF">
        <w:t xml:space="preserve"> </w:t>
      </w:r>
    </w:p>
    <w:p w:rsidR="001A35B4" w:rsidRPr="001A35B4" w:rsidRDefault="001A35B4" w:rsidP="00B15255">
      <w:pPr>
        <w:pStyle w:val="Odsekzoznamu"/>
        <w:numPr>
          <w:ilvl w:val="0"/>
          <w:numId w:val="21"/>
        </w:numPr>
        <w:spacing w:before="240"/>
        <w:ind w:left="567" w:hanging="567"/>
        <w:jc w:val="both"/>
      </w:pPr>
      <w:r w:rsidRPr="001A35B4">
        <w:rPr>
          <w:rFonts w:cs="Times New Roman"/>
        </w:rPr>
        <w:t>Emitent je povinný k</w:t>
      </w:r>
      <w:r w:rsidR="007552EF">
        <w:rPr>
          <w:rFonts w:cs="Times New Roman"/>
        </w:rPr>
        <w:t> požiadavke na službu</w:t>
      </w:r>
      <w:r>
        <w:rPr>
          <w:rFonts w:cs="Times New Roman"/>
        </w:rPr>
        <w:t xml:space="preserve"> podľa bodu 9.1.</w:t>
      </w:r>
      <w:r w:rsidRPr="001A35B4">
        <w:rPr>
          <w:rFonts w:cs="Times New Roman"/>
        </w:rPr>
        <w:t xml:space="preserve"> predložiť</w:t>
      </w:r>
      <w:r w:rsidR="00AA131E">
        <w:rPr>
          <w:rFonts w:cs="Times New Roman"/>
        </w:rPr>
        <w:t>/odovzdať</w:t>
      </w:r>
      <w:r>
        <w:rPr>
          <w:rFonts w:cs="Times New Roman"/>
        </w:rPr>
        <w:t>:</w:t>
      </w:r>
    </w:p>
    <w:p w:rsidR="00B15255" w:rsidRDefault="00CF76E5" w:rsidP="00B15255">
      <w:pPr>
        <w:pStyle w:val="Odsekzoznamu"/>
        <w:numPr>
          <w:ilvl w:val="0"/>
          <w:numId w:val="36"/>
        </w:numPr>
        <w:spacing w:before="240"/>
        <w:ind w:left="924" w:hanging="357"/>
        <w:jc w:val="both"/>
      </w:pPr>
      <w:r>
        <w:t xml:space="preserve">v prípade zmeny počtu akcií alebo menovitej hodnoty: VOR </w:t>
      </w:r>
      <w:r w:rsidR="00852DB9">
        <w:t>,</w:t>
      </w:r>
    </w:p>
    <w:p w:rsidR="00B15255" w:rsidRDefault="00852DB9" w:rsidP="00B15255">
      <w:pPr>
        <w:pStyle w:val="Odsekzoznamu"/>
        <w:numPr>
          <w:ilvl w:val="0"/>
          <w:numId w:val="36"/>
        </w:numPr>
        <w:spacing w:before="240"/>
        <w:ind w:left="924" w:hanging="357"/>
        <w:jc w:val="both"/>
      </w:pPr>
      <w:r>
        <w:t xml:space="preserve">v prípade zmeny základného imania v dôsledku zmeny počtu kusov akcií danej emisie: </w:t>
      </w:r>
      <w:r w:rsidR="001A35B4">
        <w:t>úplné a správne údaje</w:t>
      </w:r>
      <w:r w:rsidR="00EA6909">
        <w:t xml:space="preserve"> o všetkých akcionároch, ktorých sa </w:t>
      </w:r>
      <w:r w:rsidR="00A3206A">
        <w:t xml:space="preserve">zmena v zozname akcionárov </w:t>
      </w:r>
      <w:r w:rsidR="00177D90">
        <w:t xml:space="preserve"> týka (</w:t>
      </w:r>
      <w:r w:rsidR="00CF76E5">
        <w:t>vrátane údajov o počte akcií  dotknutého akcionára</w:t>
      </w:r>
      <w:r>
        <w:t>)</w:t>
      </w:r>
      <w:r w:rsidR="00177D90">
        <w:t>,</w:t>
      </w:r>
    </w:p>
    <w:p w:rsidR="00B15255" w:rsidRDefault="00852DB9" w:rsidP="00B15255">
      <w:pPr>
        <w:pStyle w:val="Odsekzoznamu"/>
        <w:numPr>
          <w:ilvl w:val="0"/>
          <w:numId w:val="36"/>
        </w:numPr>
        <w:spacing w:before="240"/>
        <w:ind w:left="924" w:hanging="357"/>
        <w:jc w:val="both"/>
      </w:pPr>
      <w:r>
        <w:t>v prípade zmeny základného imania v dôsledku zmeny počtu kusov akcií a súčasne zmeny menovitej hodnoty danej emisie: úplný zoznam akcionárov</w:t>
      </w:r>
      <w:r w:rsidR="00AA131E">
        <w:t>,</w:t>
      </w:r>
    </w:p>
    <w:p w:rsidR="00AA131E" w:rsidRPr="00AA131E" w:rsidRDefault="006D37B1" w:rsidP="00B15255">
      <w:pPr>
        <w:pStyle w:val="Odsekzoznamu"/>
        <w:numPr>
          <w:ilvl w:val="0"/>
          <w:numId w:val="36"/>
        </w:numPr>
        <w:spacing w:before="240"/>
        <w:ind w:left="924" w:hanging="357"/>
        <w:jc w:val="both"/>
      </w:pPr>
      <w:r>
        <w:t xml:space="preserve">v prípade zmeny počtu kusov akcií a súčasne zmeny menovitej hodnoty danej emisie pri zachovaní výšky základného imania: úplný zoznam akcionárov, </w:t>
      </w:r>
    </w:p>
    <w:p w:rsidR="00B15255" w:rsidRDefault="00AA131E" w:rsidP="00B15255">
      <w:pPr>
        <w:pStyle w:val="Odsekzoznamu"/>
        <w:numPr>
          <w:ilvl w:val="0"/>
          <w:numId w:val="21"/>
        </w:numPr>
        <w:spacing w:before="240"/>
        <w:ind w:left="567" w:hanging="567"/>
        <w:jc w:val="both"/>
      </w:pPr>
      <w:r>
        <w:rPr>
          <w:rFonts w:cs="Times New Roman"/>
          <w:szCs w:val="24"/>
        </w:rPr>
        <w:t xml:space="preserve">Na odovzdanie zoznamu akcionárov v zmysle bodu 9.2 písm. c) a d) Obchodných podmienok </w:t>
      </w:r>
      <w:r>
        <w:t>sa primerane uplatňujú ustanovenia bodov č. 4.6 až 4.8 a bodu 4.10 Obchodných podmienok, pričom emitent</w:t>
      </w:r>
      <w:r w:rsidRPr="00115FFC">
        <w:t xml:space="preserve"> je povinný odovzdať Centrálne</w:t>
      </w:r>
      <w:r w:rsidRPr="00AA131E">
        <w:t>mu depozitáru zoznam akcionárov, ktorý je zhodný s pôvodným zoznamom akcionárov v rozsahu údajov o akcionároch (neplatí pre identifikačné údaje o akcionároch).</w:t>
      </w:r>
    </w:p>
    <w:p w:rsidR="00B15255" w:rsidRDefault="00852DB9" w:rsidP="00B15255">
      <w:pPr>
        <w:pStyle w:val="Odsekzoznamu"/>
        <w:numPr>
          <w:ilvl w:val="0"/>
          <w:numId w:val="21"/>
        </w:numPr>
        <w:spacing w:before="240"/>
        <w:ind w:left="567" w:hanging="567"/>
        <w:jc w:val="both"/>
      </w:pPr>
      <w:r>
        <w:t>V</w:t>
      </w:r>
      <w:r w:rsidR="006D37B1">
        <w:t xml:space="preserve"> prípade </w:t>
      </w:r>
      <w:r>
        <w:t xml:space="preserve">zmeny počtu kusov akcií a súčasne zmeny menovitej hodnoty danej emisie </w:t>
      </w:r>
      <w:r w:rsidRPr="00DB70D9">
        <w:t xml:space="preserve">Centrálny depozitár zruší registráciu </w:t>
      </w:r>
      <w:r w:rsidRPr="00B15255">
        <w:rPr>
          <w:bCs/>
        </w:rPr>
        <w:t xml:space="preserve">pôvodného zoznamu akcionárov, vrátane zrušenia ČEM a </w:t>
      </w:r>
      <w:r w:rsidRPr="00DB70D9">
        <w:t xml:space="preserve">zaregistruje emitentovi ním predložený </w:t>
      </w:r>
      <w:r w:rsidRPr="00DB70D9">
        <w:lastRenderedPageBreak/>
        <w:t>nový zoznam akcionárov a pridelí nové ČEM.</w:t>
      </w:r>
      <w:r w:rsidRPr="00B15255">
        <w:rPr>
          <w:rFonts w:cs="Times New Roman"/>
          <w:szCs w:val="24"/>
        </w:rPr>
        <w:t xml:space="preserve">  </w:t>
      </w:r>
      <w:r>
        <w:t>Po vykonaní registrácie nového zoznamu akcionárov odovzdá Centrálny depozitár emitentovi  zaregistrovaný zoznam akcionárov a údaj o pridelenom ČEM.</w:t>
      </w:r>
    </w:p>
    <w:p w:rsidR="00A62278" w:rsidRDefault="001E3921" w:rsidP="00A62278">
      <w:pPr>
        <w:pStyle w:val="Odsekzoznamu"/>
        <w:numPr>
          <w:ilvl w:val="0"/>
          <w:numId w:val="21"/>
        </w:numPr>
        <w:spacing w:before="240"/>
        <w:ind w:left="567" w:hanging="567"/>
        <w:jc w:val="both"/>
      </w:pPr>
      <w:r w:rsidRPr="008D4130">
        <w:rPr>
          <w:rFonts w:cs="Times New Roman"/>
        </w:rPr>
        <w:t xml:space="preserve">V prípade požiadavky </w:t>
      </w:r>
      <w:r>
        <w:rPr>
          <w:rFonts w:cs="Times New Roman"/>
        </w:rPr>
        <w:t xml:space="preserve">na službu podľa </w:t>
      </w:r>
      <w:r>
        <w:rPr>
          <w:rFonts w:cs="Times New Roman"/>
          <w:szCs w:val="24"/>
        </w:rPr>
        <w:t xml:space="preserve">tohto bodu doručovanej poštou </w:t>
      </w:r>
      <w:r w:rsidRPr="008D4130">
        <w:rPr>
          <w:rFonts w:cs="Times New Roman"/>
          <w:szCs w:val="24"/>
        </w:rPr>
        <w:t xml:space="preserve">je emitent povinný uhradiť preddavok v plnej výške poplatku za poskytnutie tejto služby </w:t>
      </w:r>
      <w:r w:rsidRPr="008D4130">
        <w:rPr>
          <w:rFonts w:cs="Times New Roman"/>
        </w:rPr>
        <w:t>v súlade so základnou sadzbou stanovenou Cenníkom na základe vystavenej preddavkovej faktúry. Preddavkovú faktúru doručí Centrálny depozitár</w:t>
      </w:r>
      <w:r w:rsidRPr="008D4130">
        <w:rPr>
          <w:rFonts w:cs="Times New Roman"/>
          <w:szCs w:val="24"/>
        </w:rPr>
        <w:t xml:space="preserve"> emitentovi bezodkladne po doručení príkazu emitenta. Lehota na vykonanie požiadavky na službu, stanovená v zmysle týchto Obchodných podmienok, začína plynúť nasledujúci pracovný deň odo dňa uhradenia preddavku podľa tohto ustanovenia. </w:t>
      </w:r>
      <w:r w:rsidRPr="008D4130">
        <w:rPr>
          <w:rFonts w:cs="Times New Roman"/>
        </w:rPr>
        <w:t xml:space="preserve">Po </w:t>
      </w:r>
      <w:r>
        <w:rPr>
          <w:rFonts w:cs="Times New Roman"/>
        </w:rPr>
        <w:t>vykonaní služby</w:t>
      </w:r>
      <w:r w:rsidRPr="008D4130">
        <w:rPr>
          <w:rFonts w:cs="Times New Roman"/>
        </w:rPr>
        <w:t xml:space="preserve"> vystaví Centrálny depozitár realizačnú faktúru s odpočítaným uhradeným preddavkom za poskytnuté služby. V prípade, ak emitent neuhradí preddavok v zmysle tohto ustanovenia v lehote 6 mesiacov od nadobudnutia splatnosti preddavkovej faktúry, Centrálny depozitár podaný príkaz odmietne a požadovanú službu nevykoná. Týmto ustanovením nie je dotknutá povinnosť </w:t>
      </w:r>
      <w:r w:rsidRPr="00625844">
        <w:t xml:space="preserve">uhradiť aj ceny súvisiace </w:t>
      </w:r>
      <w:r>
        <w:t>s poskytnutím ďalších služieb.</w:t>
      </w:r>
      <w:r w:rsidR="00A62278">
        <w:t xml:space="preserve"> </w:t>
      </w:r>
    </w:p>
    <w:p w:rsidR="00A62278" w:rsidRPr="001E3921" w:rsidRDefault="00A62278" w:rsidP="00A62278">
      <w:pPr>
        <w:pStyle w:val="Odsekzoznamu"/>
        <w:numPr>
          <w:ilvl w:val="0"/>
          <w:numId w:val="21"/>
        </w:numPr>
        <w:spacing w:before="240"/>
        <w:ind w:left="567" w:hanging="567"/>
        <w:jc w:val="both"/>
      </w:pPr>
      <w:r>
        <w:t>Ustanovenie bodu 9.5 Obchodných podmienok sa neuplatňuje v prípade</w:t>
      </w:r>
      <w:r w:rsidRPr="00097B30">
        <w:t xml:space="preserve">, ak predmetom </w:t>
      </w:r>
      <w:r>
        <w:t>požiadavky na službu</w:t>
      </w:r>
      <w:r w:rsidRPr="00097B30">
        <w:t xml:space="preserve"> je zmena údajov </w:t>
      </w:r>
      <w:r>
        <w:t xml:space="preserve">v </w:t>
      </w:r>
      <w:r w:rsidRPr="00097B30">
        <w:t xml:space="preserve">zozname akcionárov, ktorá nepredstavuje zmenu počtu akcií danej emisie, </w:t>
      </w:r>
      <w:r>
        <w:t xml:space="preserve">v prípade zníženia základného imania </w:t>
      </w:r>
      <w:r w:rsidRPr="00E12A79">
        <w:t>uskutoč</w:t>
      </w:r>
      <w:r>
        <w:t>neného výlučne stiahnutím akcií z obehu, v prípade postupu emitenta podľa § 17 ZOCP, v prípade vyhlásenia akcií za neplatné podľa príslušných ustanovení Obchodného zákonníka.</w:t>
      </w:r>
    </w:p>
    <w:p w:rsidR="00A56473" w:rsidRPr="00A56473" w:rsidRDefault="007552EF" w:rsidP="000912E3">
      <w:pPr>
        <w:pStyle w:val="Odsekzoznamu"/>
        <w:numPr>
          <w:ilvl w:val="0"/>
          <w:numId w:val="21"/>
        </w:numPr>
        <w:spacing w:before="240"/>
        <w:ind w:left="567" w:hanging="567"/>
        <w:jc w:val="both"/>
      </w:pPr>
      <w:r w:rsidRPr="00B15255">
        <w:rPr>
          <w:rFonts w:cs="Times New Roman"/>
        </w:rPr>
        <w:t>Ustanovenia bodu 9 sa primerane použijú aj v prípade zvýšenia alebo zníženia výšk</w:t>
      </w:r>
      <w:r w:rsidR="00CE3A44" w:rsidRPr="00B15255">
        <w:rPr>
          <w:rFonts w:cs="Times New Roman"/>
        </w:rPr>
        <w:t>y zapisovaného základného imania</w:t>
      </w:r>
      <w:r w:rsidRPr="00B15255">
        <w:rPr>
          <w:rFonts w:cs="Times New Roman"/>
        </w:rPr>
        <w:t xml:space="preserve"> akciovej spoločnosti s premenlivým základným imaním.</w:t>
      </w:r>
    </w:p>
    <w:p w:rsidR="00EC3560" w:rsidRDefault="005D774B" w:rsidP="00B15255">
      <w:pPr>
        <w:pStyle w:val="Nadpis2"/>
        <w:numPr>
          <w:ilvl w:val="0"/>
          <w:numId w:val="13"/>
        </w:numPr>
        <w:ind w:left="567" w:hanging="567"/>
      </w:pPr>
      <w:r>
        <w:lastRenderedPageBreak/>
        <w:t>PREDKLADANIE ÚDAJOV/PRÍKAZOV</w:t>
      </w:r>
      <w:r w:rsidR="00D34C2F" w:rsidRPr="00122314">
        <w:t xml:space="preserve"> PROSTREDNÍCTVOM TECHNICKÝCH NOSIČOV ÚDAJOV</w:t>
      </w:r>
    </w:p>
    <w:p w:rsidR="00B57FD6" w:rsidRPr="00B57FD6" w:rsidRDefault="00B57FD6" w:rsidP="00B57FD6">
      <w:pPr>
        <w:pStyle w:val="Odsekzoznamu"/>
        <w:ind w:left="360" w:firstLine="0"/>
        <w:jc w:val="both"/>
        <w:rPr>
          <w:rFonts w:cs="Times New Roman"/>
          <w:b/>
          <w:sz w:val="24"/>
          <w:szCs w:val="24"/>
        </w:rPr>
      </w:pPr>
    </w:p>
    <w:p w:rsidR="005F2FDE" w:rsidRPr="005F2FDE" w:rsidRDefault="00EC3560" w:rsidP="005F2FDE">
      <w:pPr>
        <w:pStyle w:val="Odsekzoznamu"/>
        <w:numPr>
          <w:ilvl w:val="0"/>
          <w:numId w:val="5"/>
        </w:numPr>
        <w:ind w:left="567" w:hanging="567"/>
        <w:jc w:val="both"/>
        <w:rPr>
          <w:rFonts w:cs="Times New Roman"/>
          <w:b/>
        </w:rPr>
      </w:pPr>
      <w:r w:rsidRPr="00B57FD6">
        <w:t>Emitent je oprávnený pred</w:t>
      </w:r>
      <w:r w:rsidR="009865D2">
        <w:t>ložiť</w:t>
      </w:r>
      <w:r w:rsidRPr="00B57FD6">
        <w:t xml:space="preserve"> Centrálnemu depozitáru pros</w:t>
      </w:r>
      <w:r w:rsidR="00542281">
        <w:t>tredníctvom technických nosičov</w:t>
      </w:r>
      <w:r w:rsidR="005F2FDE">
        <w:t xml:space="preserve"> údajov nasledovné požiadavky na služby alebo údaje:</w:t>
      </w:r>
    </w:p>
    <w:p w:rsidR="005F2FDE" w:rsidRDefault="001818F9" w:rsidP="005F2FDE">
      <w:pPr>
        <w:pStyle w:val="Odsekzoznamu"/>
        <w:numPr>
          <w:ilvl w:val="0"/>
          <w:numId w:val="40"/>
        </w:numPr>
        <w:jc w:val="both"/>
        <w:rPr>
          <w:rFonts w:cs="Times New Roman"/>
        </w:rPr>
      </w:pPr>
      <w:r w:rsidRPr="001818F9">
        <w:rPr>
          <w:rFonts w:cs="Times New Roman"/>
        </w:rPr>
        <w:t xml:space="preserve">odovzdávanie zoznamu akcionárov podľa bodu 4 a bodu </w:t>
      </w:r>
      <w:r w:rsidR="00AA131E">
        <w:rPr>
          <w:rFonts w:cs="Times New Roman"/>
        </w:rPr>
        <w:t>9</w:t>
      </w:r>
      <w:r>
        <w:rPr>
          <w:rFonts w:cs="Times New Roman"/>
        </w:rPr>
        <w:t>,</w:t>
      </w:r>
    </w:p>
    <w:p w:rsidR="006229BB" w:rsidRDefault="006229BB" w:rsidP="005F2FDE">
      <w:pPr>
        <w:pStyle w:val="Odsekzoznamu"/>
        <w:numPr>
          <w:ilvl w:val="0"/>
          <w:numId w:val="40"/>
        </w:numPr>
        <w:jc w:val="both"/>
        <w:rPr>
          <w:rFonts w:cs="Times New Roman"/>
        </w:rPr>
      </w:pPr>
      <w:r>
        <w:rPr>
          <w:rFonts w:cs="Times New Roman"/>
        </w:rPr>
        <w:t>príkazu na zápis zmeny akcionára v zozname akcionárov podľa bodu 6</w:t>
      </w:r>
    </w:p>
    <w:p w:rsidR="006229BB" w:rsidRDefault="006229BB" w:rsidP="006229BB">
      <w:pPr>
        <w:pStyle w:val="Odsekzoznamu"/>
        <w:numPr>
          <w:ilvl w:val="0"/>
          <w:numId w:val="40"/>
        </w:numPr>
        <w:jc w:val="both"/>
        <w:rPr>
          <w:rFonts w:cs="Times New Roman"/>
        </w:rPr>
      </w:pPr>
      <w:r>
        <w:rPr>
          <w:rFonts w:cs="Times New Roman"/>
        </w:rPr>
        <w:t xml:space="preserve">príkazu na zápis zmeny </w:t>
      </w:r>
      <w:r w:rsidR="00222425">
        <w:rPr>
          <w:rFonts w:cs="Times New Roman"/>
        </w:rPr>
        <w:t xml:space="preserve">identifikačných </w:t>
      </w:r>
      <w:r>
        <w:rPr>
          <w:rFonts w:cs="Times New Roman"/>
        </w:rPr>
        <w:t>údajov o akcionárovi v zozname akcionárov podľa bodu 6,</w:t>
      </w:r>
    </w:p>
    <w:p w:rsidR="006229BB" w:rsidRDefault="006229BB" w:rsidP="006229BB">
      <w:pPr>
        <w:pStyle w:val="Odsekzoznamu"/>
        <w:numPr>
          <w:ilvl w:val="0"/>
          <w:numId w:val="40"/>
        </w:numPr>
        <w:jc w:val="both"/>
        <w:rPr>
          <w:rFonts w:cs="Times New Roman"/>
        </w:rPr>
      </w:pPr>
      <w:r>
        <w:t>údaje o všetkých akcionároch, ktorých sa zmena v zozname akcionárov  týka v prípade zápisu zmien podľa bodu 9,</w:t>
      </w:r>
    </w:p>
    <w:p w:rsidR="001818F9" w:rsidRPr="006229BB" w:rsidRDefault="006229BB" w:rsidP="006229BB">
      <w:pPr>
        <w:pStyle w:val="Odsekzoznamu"/>
        <w:numPr>
          <w:ilvl w:val="0"/>
          <w:numId w:val="40"/>
        </w:numPr>
        <w:jc w:val="both"/>
        <w:rPr>
          <w:rFonts w:cs="Times New Roman"/>
        </w:rPr>
      </w:pPr>
      <w:r>
        <w:rPr>
          <w:rFonts w:cs="Times New Roman"/>
        </w:rPr>
        <w:t>v iných prípadoch, ak tak stanovujú Obchodné podmienky.</w:t>
      </w:r>
    </w:p>
    <w:p w:rsidR="00FB2038" w:rsidRPr="005F2FDE" w:rsidRDefault="00EC3560" w:rsidP="005F2FDE">
      <w:pPr>
        <w:pStyle w:val="Odsekzoznamu"/>
        <w:numPr>
          <w:ilvl w:val="0"/>
          <w:numId w:val="5"/>
        </w:numPr>
        <w:ind w:left="567" w:hanging="567"/>
        <w:jc w:val="both"/>
        <w:rPr>
          <w:rFonts w:cs="Times New Roman"/>
          <w:b/>
        </w:rPr>
      </w:pPr>
      <w:r w:rsidRPr="00B57FD6">
        <w:t>Rozsah, spôsob a podmienky vzájomnej komunikácie, formu predkladaných p</w:t>
      </w:r>
      <w:r w:rsidR="009A648F">
        <w:t>ríkazov</w:t>
      </w:r>
      <w:r w:rsidRPr="00B57FD6">
        <w:t xml:space="preserve"> a ďalšie podmienky stanovujú </w:t>
      </w:r>
      <w:r w:rsidR="009865D2">
        <w:t xml:space="preserve">tieto </w:t>
      </w:r>
      <w:r w:rsidRPr="00B57FD6">
        <w:t>Obchodné podmienky.</w:t>
      </w:r>
    </w:p>
    <w:p w:rsidR="00FB2038" w:rsidRPr="006229BB" w:rsidRDefault="00816971" w:rsidP="006229BB">
      <w:pPr>
        <w:pStyle w:val="Odsekzoznamu"/>
        <w:numPr>
          <w:ilvl w:val="0"/>
          <w:numId w:val="5"/>
        </w:numPr>
        <w:ind w:left="567" w:hanging="567"/>
        <w:jc w:val="both"/>
        <w:rPr>
          <w:rFonts w:cs="Times New Roman"/>
          <w:b/>
        </w:rPr>
      </w:pPr>
      <w:r>
        <w:t>Emitent</w:t>
      </w:r>
      <w:r w:rsidR="009865D2">
        <w:t xml:space="preserve"> je oprávnený predložiť </w:t>
      </w:r>
      <w:r w:rsidR="006229BB">
        <w:t xml:space="preserve">požiadavku na službu alebo údaje  prostredníctvom technických nosičov údajov </w:t>
      </w:r>
      <w:r w:rsidR="009865D2">
        <w:t xml:space="preserve">v zmysle tohto ustanovenia </w:t>
      </w:r>
      <w:r w:rsidR="00EC3560" w:rsidRPr="00B57FD6">
        <w:t>pri d</w:t>
      </w:r>
      <w:r w:rsidR="00FB2038" w:rsidRPr="00B57FD6">
        <w:t>održaní podmienok upravených v Z</w:t>
      </w:r>
      <w:r w:rsidR="00EC3560" w:rsidRPr="00B57FD6">
        <w:t xml:space="preserve">mluve </w:t>
      </w:r>
      <w:r w:rsidR="006229BB">
        <w:t xml:space="preserve">o vedení zoznamu akcionárov,  </w:t>
      </w:r>
      <w:r w:rsidR="009865D2">
        <w:t xml:space="preserve">Obchodných </w:t>
      </w:r>
      <w:r w:rsidR="00870327">
        <w:t>po</w:t>
      </w:r>
      <w:r w:rsidR="00FB2038" w:rsidRPr="00B57FD6">
        <w:t>dmienkach</w:t>
      </w:r>
      <w:r w:rsidR="00EC3560" w:rsidRPr="00B57FD6">
        <w:t xml:space="preserve">, Prevádzkovom poriadku </w:t>
      </w:r>
      <w:r w:rsidR="006229BB">
        <w:t xml:space="preserve">a </w:t>
      </w:r>
      <w:r w:rsidR="00EC3560" w:rsidRPr="00B57FD6">
        <w:t>v súlade s te</w:t>
      </w:r>
      <w:r w:rsidR="00337674">
        <w:t xml:space="preserve">chnickou </w:t>
      </w:r>
      <w:r w:rsidR="00337674" w:rsidRPr="00354AAC">
        <w:t xml:space="preserve">špecifikáciou </w:t>
      </w:r>
      <w:r w:rsidR="00354AAC" w:rsidRPr="00354AAC">
        <w:t>pre</w:t>
      </w:r>
      <w:r w:rsidR="00354AAC">
        <w:t xml:space="preserve"> hromadné vygenerovanie príkazov na </w:t>
      </w:r>
      <w:r w:rsidR="00816D1A">
        <w:t xml:space="preserve">zápis údajov  </w:t>
      </w:r>
      <w:r w:rsidR="00354AAC">
        <w:t>zverejnenou na webovej stránke www.cdcp.sk</w:t>
      </w:r>
      <w:r w:rsidR="00EC3560" w:rsidRPr="00B57FD6">
        <w:t>.</w:t>
      </w:r>
    </w:p>
    <w:p w:rsidR="00FD4FB8" w:rsidRPr="00FD4FB8" w:rsidRDefault="00FB2038" w:rsidP="00681A93">
      <w:pPr>
        <w:pStyle w:val="Odsekzoznamu"/>
        <w:numPr>
          <w:ilvl w:val="0"/>
          <w:numId w:val="5"/>
        </w:numPr>
        <w:ind w:left="567" w:hanging="567"/>
        <w:jc w:val="both"/>
        <w:rPr>
          <w:rFonts w:cs="Times New Roman"/>
          <w:b/>
        </w:rPr>
      </w:pPr>
      <w:r w:rsidRPr="00B57FD6">
        <w:t xml:space="preserve">Emitent sa zaväzuje odovzdávať Centrálnemu depozitáru </w:t>
      </w:r>
      <w:r w:rsidR="006229BB">
        <w:t>požiadavku na služby alebo údaje</w:t>
      </w:r>
      <w:r w:rsidRPr="00B57FD6">
        <w:t xml:space="preserve"> vo forme súborov údajov, ktoré boli predložené na technických nosičoch údajov, a to pri jednotlivých službách </w:t>
      </w:r>
      <w:r w:rsidR="00354AAC">
        <w:t xml:space="preserve">vo </w:t>
      </w:r>
      <w:r w:rsidRPr="00B57FD6">
        <w:t>vopred stanovených štruktúr</w:t>
      </w:r>
      <w:r w:rsidR="00354AAC">
        <w:t>ach</w:t>
      </w:r>
      <w:r w:rsidRPr="00B57FD6">
        <w:t xml:space="preserve"> údajov, ktoré musia obsahovať všetky potrebné údaje </w:t>
      </w:r>
      <w:r w:rsidR="00816D1A">
        <w:t xml:space="preserve">v zmysle Prevádzkového poriadku </w:t>
      </w:r>
      <w:r w:rsidR="00816D1A" w:rsidRPr="00816D1A">
        <w:t>(</w:t>
      </w:r>
      <w:r w:rsidR="00816D1A">
        <w:t xml:space="preserve">údaje </w:t>
      </w:r>
      <w:r w:rsidR="00E667A8" w:rsidRPr="00816D1A">
        <w:t xml:space="preserve">sú </w:t>
      </w:r>
      <w:r w:rsidRPr="00816D1A">
        <w:t xml:space="preserve">obdobné tým, </w:t>
      </w:r>
      <w:r w:rsidR="00E667A8" w:rsidRPr="00816D1A">
        <w:t>ktoré</w:t>
      </w:r>
      <w:r w:rsidRPr="00816D1A">
        <w:t xml:space="preserve"> sú vyplňované na </w:t>
      </w:r>
      <w:r w:rsidR="00337674" w:rsidRPr="00816D1A">
        <w:t>predpísaný</w:t>
      </w:r>
      <w:r w:rsidR="00337674">
        <w:t>ch</w:t>
      </w:r>
      <w:r w:rsidRPr="00B57FD6">
        <w:t xml:space="preserve"> </w:t>
      </w:r>
      <w:r w:rsidRPr="00B57FD6">
        <w:lastRenderedPageBreak/>
        <w:t>formulároc</w:t>
      </w:r>
      <w:r w:rsidR="00354AAC">
        <w:t>h</w:t>
      </w:r>
      <w:r w:rsidR="00816D1A">
        <w:t>/zmluvách</w:t>
      </w:r>
      <w:r w:rsidR="00354AAC">
        <w:t xml:space="preserve"> Centrálneho depozitára</w:t>
      </w:r>
      <w:r w:rsidR="00816D1A">
        <w:t>)</w:t>
      </w:r>
      <w:r w:rsidR="00FD4FB8">
        <w:t xml:space="preserve">. </w:t>
      </w:r>
      <w:r w:rsidR="00FD4FB8" w:rsidRPr="00354AAC">
        <w:rPr>
          <w:color w:val="000000"/>
        </w:rPr>
        <w:t xml:space="preserve">Nástroj pre emitenta, prostredníctvom ktorého môže emitent vytvoriť súborové vstupy ako podklad </w:t>
      </w:r>
      <w:r w:rsidR="006229BB">
        <w:rPr>
          <w:color w:val="000000"/>
        </w:rPr>
        <w:t xml:space="preserve">k </w:t>
      </w:r>
      <w:r w:rsidR="006229BB">
        <w:t>požiadavke na služby alebo údajom</w:t>
      </w:r>
      <w:r w:rsidR="00FD4FB8" w:rsidRPr="00354AAC">
        <w:rPr>
          <w:color w:val="000000"/>
        </w:rPr>
        <w:t>, ktoré následne predkladá Centrálnemu depozitáru prostredníctvom technických nosičov</w:t>
      </w:r>
      <w:r w:rsidR="00604482">
        <w:rPr>
          <w:color w:val="000000"/>
        </w:rPr>
        <w:t>,</w:t>
      </w:r>
      <w:r w:rsidR="00FD4FB8" w:rsidRPr="00354AAC">
        <w:rPr>
          <w:color w:val="000000"/>
        </w:rPr>
        <w:t xml:space="preserve"> </w:t>
      </w:r>
      <w:r w:rsidRPr="00354AAC">
        <w:t xml:space="preserve">zverejňuje Centrálny depozitár na svojej webovej stránke </w:t>
      </w:r>
      <w:hyperlink r:id="rId17" w:history="1">
        <w:r w:rsidRPr="00354AAC">
          <w:rPr>
            <w:rStyle w:val="Hypertextovprepojenie"/>
            <w:color w:val="auto"/>
          </w:rPr>
          <w:t>www.cdcp.sk</w:t>
        </w:r>
      </w:hyperlink>
      <w:r w:rsidRPr="00354AAC">
        <w:t xml:space="preserve"> v časti vyhradenej pre emitentov</w:t>
      </w:r>
      <w:r w:rsidR="00FD4FB8" w:rsidRPr="00354AAC">
        <w:t xml:space="preserve">, vrátane príslušnej príručky. </w:t>
      </w:r>
    </w:p>
    <w:p w:rsidR="0073584A" w:rsidRPr="0082541F" w:rsidRDefault="0073584A" w:rsidP="00681A93">
      <w:pPr>
        <w:pStyle w:val="Odsekzoznamu"/>
        <w:numPr>
          <w:ilvl w:val="0"/>
          <w:numId w:val="5"/>
        </w:numPr>
        <w:ind w:left="567" w:hanging="567"/>
        <w:jc w:val="both"/>
        <w:rPr>
          <w:rFonts w:cs="Times New Roman"/>
          <w:b/>
        </w:rPr>
      </w:pPr>
      <w:r w:rsidRPr="0082541F">
        <w:t xml:space="preserve">Emitent odovzdáva technické nosiče údajov </w:t>
      </w:r>
      <w:r w:rsidR="00FD4FB8" w:rsidRPr="0082541F">
        <w:t>v sídle Centrálneho depozitára.</w:t>
      </w:r>
    </w:p>
    <w:p w:rsidR="0073584A" w:rsidRPr="00B57FD6" w:rsidRDefault="00FB2038" w:rsidP="00681A93">
      <w:pPr>
        <w:pStyle w:val="Odsekzoznamu"/>
        <w:numPr>
          <w:ilvl w:val="0"/>
          <w:numId w:val="5"/>
        </w:numPr>
        <w:ind w:left="567" w:hanging="567"/>
        <w:jc w:val="both"/>
        <w:rPr>
          <w:rFonts w:cs="Times New Roman"/>
          <w:b/>
        </w:rPr>
      </w:pPr>
      <w:r w:rsidRPr="00B57FD6">
        <w:t xml:space="preserve">Pri preberaní technických nosičov údajov od emitenta Centrálny depozitár programovými prostriedkami daného pracoviska zistí jednoznačný kód - softvérovú pečiatku, charakterizujúci obsah každého z preberaných súborov na technických nosičoch údajov a zaznamená túto skutočnosť do preberacieho protokolu, ktorého </w:t>
      </w:r>
      <w:r w:rsidR="00604482">
        <w:t>jedno vyhotovenie</w:t>
      </w:r>
      <w:r w:rsidRPr="00B57FD6">
        <w:t xml:space="preserve"> obdrží emitent. Centrálny depozitár po vykonaní služieb, požadovaných </w:t>
      </w:r>
      <w:r w:rsidR="0073584A" w:rsidRPr="00B57FD6">
        <w:t>emitentom</w:t>
      </w:r>
      <w:r w:rsidRPr="00B57FD6">
        <w:t xml:space="preserve">, </w:t>
      </w:r>
      <w:r w:rsidR="00816D1A">
        <w:t>vedie záznamy - eviduje</w:t>
      </w:r>
      <w:r w:rsidRPr="00B57FD6">
        <w:t xml:space="preserve"> súbory údajov, ktoré boli predložené na technických nosičoch údajov, prostredníctvom ktorých </w:t>
      </w:r>
      <w:r w:rsidR="0073584A" w:rsidRPr="00B57FD6">
        <w:t>emitent zadal p</w:t>
      </w:r>
      <w:r w:rsidR="00E667A8">
        <w:t>ríkaz</w:t>
      </w:r>
      <w:r w:rsidR="0073584A" w:rsidRPr="00B57FD6">
        <w:t xml:space="preserve"> na služby C</w:t>
      </w:r>
      <w:r w:rsidRPr="00B57FD6">
        <w:t xml:space="preserve">entrálneho depozitára, preberacie protokoly pre prípadné riešenie </w:t>
      </w:r>
      <w:r w:rsidR="00FD4FB8">
        <w:t>sťažností</w:t>
      </w:r>
      <w:r w:rsidRPr="00B57FD6">
        <w:t xml:space="preserve"> </w:t>
      </w:r>
      <w:r w:rsidR="00DD1A60">
        <w:t xml:space="preserve">na poskytnutie </w:t>
      </w:r>
      <w:r w:rsidRPr="00B57FD6">
        <w:t>týchto služieb. Centrálny depozitár pr</w:t>
      </w:r>
      <w:r w:rsidR="00C0463A">
        <w:t>i</w:t>
      </w:r>
      <w:r w:rsidRPr="00B57FD6">
        <w:t xml:space="preserve">jme </w:t>
      </w:r>
      <w:r w:rsidR="00402E61">
        <w:t>emitentom</w:t>
      </w:r>
      <w:r w:rsidRPr="00B57FD6">
        <w:t xml:space="preserve"> odovzdaný sporný súbor na </w:t>
      </w:r>
      <w:r w:rsidR="00FD4FB8">
        <w:t>konanie o sťažnosti</w:t>
      </w:r>
      <w:r w:rsidRPr="00B57FD6">
        <w:t xml:space="preserve"> len vtedy, ak softvérová pečiatka predloženého sporného súboru je identická so softvérovou pečiatkou n</w:t>
      </w:r>
      <w:r w:rsidR="0073584A" w:rsidRPr="00B57FD6">
        <w:t>a príslušnom protokole, ktorým C</w:t>
      </w:r>
      <w:r w:rsidRPr="00B57FD6">
        <w:t xml:space="preserve">entrálny depozitár prebral alebo odovzdal súbor. </w:t>
      </w:r>
    </w:p>
    <w:p w:rsidR="0073584A" w:rsidRPr="00F75AE1" w:rsidRDefault="00FB2038" w:rsidP="00681A93">
      <w:pPr>
        <w:pStyle w:val="Odsekzoznamu"/>
        <w:numPr>
          <w:ilvl w:val="0"/>
          <w:numId w:val="5"/>
        </w:numPr>
        <w:ind w:left="567" w:hanging="567"/>
        <w:jc w:val="both"/>
        <w:rPr>
          <w:rFonts w:cs="Times New Roman"/>
          <w:b/>
        </w:rPr>
      </w:pPr>
      <w:r w:rsidRPr="00F75AE1">
        <w:t xml:space="preserve">Pokiaľ </w:t>
      </w:r>
      <w:r w:rsidR="006229BB">
        <w:t>požiadavka na služby alebo údaje</w:t>
      </w:r>
      <w:r w:rsidR="006075E0" w:rsidRPr="00F75AE1">
        <w:t>,</w:t>
      </w:r>
      <w:r w:rsidRPr="00F75AE1">
        <w:t xml:space="preserve"> </w:t>
      </w:r>
      <w:r w:rsidR="00112C46" w:rsidRPr="00F75AE1">
        <w:t>predložené prostredníctvom technických nosičov</w:t>
      </w:r>
      <w:r w:rsidR="006075E0" w:rsidRPr="00F75AE1">
        <w:t>,</w:t>
      </w:r>
      <w:r w:rsidR="00112C46" w:rsidRPr="00F75AE1">
        <w:t xml:space="preserve"> </w:t>
      </w:r>
      <w:r w:rsidRPr="00F75AE1">
        <w:t xml:space="preserve">sú zjavne nevyhovujúce </w:t>
      </w:r>
      <w:r w:rsidR="00E667A8" w:rsidRPr="00F75AE1">
        <w:t>alebo nesprávne alebo neúplné, C</w:t>
      </w:r>
      <w:r w:rsidRPr="00F75AE1">
        <w:t>entrálny depozitár požadovaný záp</w:t>
      </w:r>
      <w:r w:rsidR="00FD4FB8" w:rsidRPr="00F75AE1">
        <w:t>is v evidencii nevykoná</w:t>
      </w:r>
      <w:r w:rsidR="00E667A8" w:rsidRPr="00F75AE1">
        <w:t>, požiadavky</w:t>
      </w:r>
      <w:r w:rsidR="006229BB">
        <w:t xml:space="preserve"> na službu odmietne a predloženú</w:t>
      </w:r>
      <w:r w:rsidR="00E667A8" w:rsidRPr="00F75AE1">
        <w:t xml:space="preserve"> </w:t>
      </w:r>
      <w:r w:rsidR="006229BB">
        <w:t>požiadavku na službu alebo údaje</w:t>
      </w:r>
      <w:r w:rsidRPr="00F75AE1">
        <w:t xml:space="preserve"> vráti bez zbytočného odkladu späť</w:t>
      </w:r>
      <w:r w:rsidR="0073584A" w:rsidRPr="00F75AE1">
        <w:t xml:space="preserve"> emitentovi</w:t>
      </w:r>
      <w:r w:rsidRPr="00F75AE1">
        <w:t xml:space="preserve">, pričom za vzniknutú škodu zodpovedá </w:t>
      </w:r>
      <w:r w:rsidR="0073584A" w:rsidRPr="00F75AE1">
        <w:t>emitent.</w:t>
      </w:r>
    </w:p>
    <w:p w:rsidR="00A36806" w:rsidRPr="00A36806" w:rsidRDefault="0073584A" w:rsidP="00681A93">
      <w:pPr>
        <w:pStyle w:val="Odsekzoznamu"/>
        <w:numPr>
          <w:ilvl w:val="0"/>
          <w:numId w:val="5"/>
        </w:numPr>
        <w:ind w:left="567" w:hanging="567"/>
        <w:jc w:val="both"/>
        <w:rPr>
          <w:rFonts w:cs="Times New Roman"/>
          <w:b/>
        </w:rPr>
      </w:pPr>
      <w:r w:rsidRPr="00B57FD6">
        <w:lastRenderedPageBreak/>
        <w:t>O vykonaní p</w:t>
      </w:r>
      <w:r w:rsidR="00E667A8">
        <w:t>ožiadavky na službu</w:t>
      </w:r>
      <w:r w:rsidRPr="00B57FD6">
        <w:t>, t.j. o tom, či požadované služby boli vykonané, alebo ich vykonanie bolo odmietnuté, informuje Centrálny depozitár emitenta bez zbytočného odkladu. V prípade, ak Centrálny depozitár odmietne požadované služby vykonať, oznámi emitentovi dôvod tohto odmietnutia.</w:t>
      </w:r>
    </w:p>
    <w:p w:rsidR="00A36806" w:rsidRPr="002A074D" w:rsidRDefault="00A36806" w:rsidP="00681A93">
      <w:pPr>
        <w:pStyle w:val="Odsekzoznamu"/>
        <w:numPr>
          <w:ilvl w:val="0"/>
          <w:numId w:val="5"/>
        </w:numPr>
        <w:ind w:left="567" w:hanging="567"/>
        <w:jc w:val="both"/>
        <w:rPr>
          <w:rFonts w:cs="Times New Roman"/>
          <w:b/>
        </w:rPr>
      </w:pPr>
      <w:r>
        <w:t>Emitent je povinný pri predkladaní požiadaviek</w:t>
      </w:r>
      <w:r w:rsidR="00E667A8">
        <w:t xml:space="preserve"> na služby</w:t>
      </w:r>
      <w:r>
        <w:t xml:space="preserve"> </w:t>
      </w:r>
      <w:r w:rsidR="006229BB">
        <w:t xml:space="preserve">alebo údajov </w:t>
      </w:r>
      <w:r>
        <w:t xml:space="preserve">prostredníctvom technických nosičov zabezpečiť ich dostatočnú </w:t>
      </w:r>
      <w:r w:rsidR="002A074D">
        <w:t xml:space="preserve">technickú bezpečnosť, vrátane zabezpečenia bezpečnosti údajov </w:t>
      </w:r>
      <w:r w:rsidR="006075E0">
        <w:t xml:space="preserve">v </w:t>
      </w:r>
      <w:r w:rsidR="002A074D">
        <w:t xml:space="preserve">nich obsiahnutých. Emitent je povinný pred predložením technických nosičov Centrálnemu depozitáru vykonať kontrolu bezpečnostných rizík, ktoré by mohol spôsobiť aplikáciou technických nosičov </w:t>
      </w:r>
      <w:r w:rsidR="002A074D">
        <w:rPr>
          <w:rFonts w:cs="Times New Roman"/>
        </w:rPr>
        <w:t xml:space="preserve">v rámci technického vybavenia Centrálneho depozitára. </w:t>
      </w:r>
    </w:p>
    <w:p w:rsidR="007720F0" w:rsidRPr="00006276" w:rsidRDefault="00122314" w:rsidP="00B15255">
      <w:pPr>
        <w:pStyle w:val="Nadpis2"/>
        <w:numPr>
          <w:ilvl w:val="0"/>
          <w:numId w:val="13"/>
        </w:numPr>
        <w:ind w:left="567" w:hanging="567"/>
      </w:pPr>
      <w:r w:rsidRPr="00006276">
        <w:t>PLATOBNÉ A</w:t>
      </w:r>
      <w:r w:rsidR="007720F0" w:rsidRPr="00006276">
        <w:t> </w:t>
      </w:r>
      <w:r w:rsidR="0032059E" w:rsidRPr="00006276">
        <w:t>FAK</w:t>
      </w:r>
      <w:r w:rsidR="007720F0" w:rsidRPr="00006276">
        <w:t>TURAČNÉ PODMIENKY</w:t>
      </w:r>
    </w:p>
    <w:p w:rsidR="007720F0" w:rsidRDefault="007720F0" w:rsidP="00556653">
      <w:pPr>
        <w:pStyle w:val="Odsekzoznamu"/>
        <w:ind w:left="360"/>
        <w:jc w:val="both"/>
        <w:rPr>
          <w:rFonts w:ascii="Times New Roman" w:hAnsi="Times New Roman" w:cs="Times New Roman"/>
          <w:b/>
        </w:rPr>
      </w:pPr>
    </w:p>
    <w:p w:rsidR="007720F0" w:rsidRPr="00122314" w:rsidRDefault="00122314" w:rsidP="00681A93">
      <w:pPr>
        <w:pStyle w:val="Odsekzoznamu"/>
        <w:numPr>
          <w:ilvl w:val="0"/>
          <w:numId w:val="9"/>
        </w:numPr>
        <w:ind w:left="567" w:hanging="567"/>
        <w:jc w:val="both"/>
        <w:rPr>
          <w:rFonts w:cs="Times New Roman"/>
          <w:b/>
        </w:rPr>
      </w:pPr>
      <w:r w:rsidRPr="00122314">
        <w:rPr>
          <w:rFonts w:cs="Times New Roman"/>
        </w:rPr>
        <w:t>C</w:t>
      </w:r>
      <w:r w:rsidR="007720F0" w:rsidRPr="00122314">
        <w:rPr>
          <w:rFonts w:cs="Times New Roman"/>
        </w:rPr>
        <w:t>entrálny depozit</w:t>
      </w:r>
      <w:r w:rsidR="00F73C9F" w:rsidRPr="00122314">
        <w:rPr>
          <w:rFonts w:cs="Times New Roman"/>
        </w:rPr>
        <w:t xml:space="preserve">ár </w:t>
      </w:r>
      <w:r w:rsidRPr="00122314">
        <w:rPr>
          <w:rFonts w:cs="Times New Roman"/>
        </w:rPr>
        <w:t>poskytuje</w:t>
      </w:r>
      <w:r w:rsidR="00F73C9F" w:rsidRPr="00122314">
        <w:rPr>
          <w:rFonts w:cs="Times New Roman"/>
        </w:rPr>
        <w:t xml:space="preserve"> </w:t>
      </w:r>
      <w:r w:rsidR="00266C7E">
        <w:rPr>
          <w:rFonts w:cs="Times New Roman"/>
        </w:rPr>
        <w:t xml:space="preserve">služby </w:t>
      </w:r>
      <w:r w:rsidR="00F73C9F" w:rsidRPr="00122314">
        <w:rPr>
          <w:rFonts w:cs="Times New Roman"/>
        </w:rPr>
        <w:t>emitentovi za cenu</w:t>
      </w:r>
      <w:r w:rsidR="00266C7E">
        <w:rPr>
          <w:rFonts w:cs="Times New Roman"/>
        </w:rPr>
        <w:t xml:space="preserve"> podľa základných</w:t>
      </w:r>
      <w:r w:rsidR="007720F0" w:rsidRPr="00122314">
        <w:rPr>
          <w:rFonts w:cs="Times New Roman"/>
        </w:rPr>
        <w:t xml:space="preserve"> sadz</w:t>
      </w:r>
      <w:r w:rsidR="00266C7E">
        <w:rPr>
          <w:rFonts w:cs="Times New Roman"/>
        </w:rPr>
        <w:t>ieb uvedených</w:t>
      </w:r>
      <w:r w:rsidR="00402E61">
        <w:rPr>
          <w:rFonts w:cs="Times New Roman"/>
        </w:rPr>
        <w:t xml:space="preserve"> v Cenníku platnom</w:t>
      </w:r>
      <w:r w:rsidR="007720F0" w:rsidRPr="00122314">
        <w:rPr>
          <w:rFonts w:cs="Times New Roman"/>
        </w:rPr>
        <w:t xml:space="preserve"> ku dňu vykonania služby. Ceny za tieto služby </w:t>
      </w:r>
      <w:r w:rsidRPr="00122314">
        <w:rPr>
          <w:rFonts w:cs="Times New Roman"/>
        </w:rPr>
        <w:t>C</w:t>
      </w:r>
      <w:r w:rsidR="007720F0" w:rsidRPr="00122314">
        <w:rPr>
          <w:rFonts w:cs="Times New Roman"/>
        </w:rPr>
        <w:t>entrálny</w:t>
      </w:r>
      <w:r w:rsidRPr="00122314">
        <w:rPr>
          <w:rFonts w:cs="Times New Roman"/>
        </w:rPr>
        <w:t xml:space="preserve"> depozitár emitentovi fakturuje</w:t>
      </w:r>
      <w:r w:rsidR="007720F0" w:rsidRPr="00122314">
        <w:rPr>
          <w:rFonts w:cs="Times New Roman"/>
        </w:rPr>
        <w:t xml:space="preserve"> až po vykonaní služby. </w:t>
      </w:r>
      <w:r w:rsidR="00266C7E">
        <w:rPr>
          <w:rFonts w:cs="Times New Roman"/>
        </w:rPr>
        <w:t>Centrálny depozitár je oprávnený požadovať úhrad</w:t>
      </w:r>
      <w:r w:rsidR="00276093">
        <w:rPr>
          <w:rFonts w:cs="Times New Roman"/>
        </w:rPr>
        <w:t>u preddavku za vykonanie služby.</w:t>
      </w:r>
    </w:p>
    <w:p w:rsidR="007720F0" w:rsidRPr="00FA17B0" w:rsidRDefault="007720F0" w:rsidP="00681A93">
      <w:pPr>
        <w:numPr>
          <w:ilvl w:val="0"/>
          <w:numId w:val="9"/>
        </w:numPr>
        <w:ind w:left="567" w:hanging="567"/>
        <w:jc w:val="both"/>
        <w:rPr>
          <w:rFonts w:cs="Times New Roman"/>
        </w:rPr>
      </w:pPr>
      <w:r w:rsidRPr="00FA17B0">
        <w:rPr>
          <w:rFonts w:cs="Times New Roman"/>
        </w:rPr>
        <w:t>Emitent je povinný uhradiť faktúru za vykonané služby v lehote splatnosti uvedenej na faktúre. Faktúra sa považuje za uhradenú dňom pripísania f</w:t>
      </w:r>
      <w:r w:rsidR="00122314" w:rsidRPr="00FA17B0">
        <w:rPr>
          <w:rFonts w:cs="Times New Roman"/>
        </w:rPr>
        <w:t>inančných prostriedkov na účet C</w:t>
      </w:r>
      <w:r w:rsidRPr="00FA17B0">
        <w:rPr>
          <w:rFonts w:cs="Times New Roman"/>
        </w:rPr>
        <w:t>entrálneho  depozitára v peňažnom ústave alebo dňom prijatia úhrady v hotovosti v súlade so zákonom č. 394/2012 Z. z. o obmedzení platieb v</w:t>
      </w:r>
      <w:r w:rsidR="00FA17B0" w:rsidRPr="00FA17B0">
        <w:rPr>
          <w:rFonts w:cs="Times New Roman"/>
        </w:rPr>
        <w:t> </w:t>
      </w:r>
      <w:r w:rsidRPr="00FA17B0">
        <w:rPr>
          <w:rFonts w:cs="Times New Roman"/>
        </w:rPr>
        <w:t>hotovosti</w:t>
      </w:r>
      <w:r w:rsidR="00FA17B0" w:rsidRPr="00FA17B0">
        <w:rPr>
          <w:rFonts w:cs="Times New Roman"/>
        </w:rPr>
        <w:t xml:space="preserve"> v znení neskorších predpisov</w:t>
      </w:r>
      <w:r w:rsidRPr="00FA17B0">
        <w:rPr>
          <w:rFonts w:cs="Times New Roman"/>
        </w:rPr>
        <w:t>.</w:t>
      </w:r>
    </w:p>
    <w:p w:rsidR="007720F0" w:rsidRPr="00FA17B0" w:rsidRDefault="00FA17B0" w:rsidP="00681A93">
      <w:pPr>
        <w:numPr>
          <w:ilvl w:val="0"/>
          <w:numId w:val="9"/>
        </w:numPr>
        <w:ind w:left="567" w:hanging="567"/>
        <w:jc w:val="both"/>
        <w:rPr>
          <w:rFonts w:cs="Times New Roman"/>
        </w:rPr>
      </w:pPr>
      <w:r w:rsidRPr="00FA17B0">
        <w:rPr>
          <w:rFonts w:cs="Times New Roman"/>
        </w:rPr>
        <w:t>P</w:t>
      </w:r>
      <w:r w:rsidR="007720F0" w:rsidRPr="00FA17B0">
        <w:rPr>
          <w:rFonts w:cs="Times New Roman"/>
        </w:rPr>
        <w:t xml:space="preserve">latby </w:t>
      </w:r>
      <w:r w:rsidRPr="00FA17B0">
        <w:rPr>
          <w:rFonts w:cs="Times New Roman"/>
        </w:rPr>
        <w:t>na základe vystavenej faktúry realizuje emitent spravidla prevodom medzi</w:t>
      </w:r>
      <w:r w:rsidR="007720F0" w:rsidRPr="00FA17B0">
        <w:rPr>
          <w:rFonts w:cs="Times New Roman"/>
        </w:rPr>
        <w:t xml:space="preserve"> peňažnými účtami zmluvných strán. Em</w:t>
      </w:r>
      <w:r w:rsidRPr="00FA17B0">
        <w:rPr>
          <w:rFonts w:cs="Times New Roman"/>
        </w:rPr>
        <w:t>itent realizuje úhrady na</w:t>
      </w:r>
      <w:r w:rsidR="007720F0" w:rsidRPr="00FA17B0">
        <w:rPr>
          <w:rFonts w:cs="Times New Roman"/>
        </w:rPr>
        <w:t xml:space="preserve"> peňažný účet </w:t>
      </w:r>
      <w:r w:rsidRPr="00FA17B0">
        <w:rPr>
          <w:rFonts w:cs="Times New Roman"/>
        </w:rPr>
        <w:t>C</w:t>
      </w:r>
      <w:r w:rsidR="007720F0" w:rsidRPr="00FA17B0">
        <w:rPr>
          <w:rFonts w:cs="Times New Roman"/>
        </w:rPr>
        <w:t xml:space="preserve">entrálneho depozitára, </w:t>
      </w:r>
      <w:r w:rsidR="007720F0" w:rsidRPr="00FA17B0">
        <w:rPr>
          <w:rFonts w:cs="Times New Roman"/>
        </w:rPr>
        <w:lastRenderedPageBreak/>
        <w:t>ktorý bude uvedený na faktúre. Tým sa nevylučuje možnosť úhrady v hotovosti.</w:t>
      </w:r>
    </w:p>
    <w:p w:rsidR="00FA17B0" w:rsidRPr="00266C7E" w:rsidRDefault="007720F0" w:rsidP="00681A93">
      <w:pPr>
        <w:numPr>
          <w:ilvl w:val="0"/>
          <w:numId w:val="9"/>
        </w:numPr>
        <w:ind w:left="567" w:hanging="567"/>
        <w:jc w:val="both"/>
        <w:rPr>
          <w:rFonts w:cs="Times New Roman"/>
        </w:rPr>
      </w:pPr>
      <w:r w:rsidRPr="00266C7E">
        <w:rPr>
          <w:rFonts w:cs="Times New Roman"/>
        </w:rPr>
        <w:t xml:space="preserve">Centrálny depozitár </w:t>
      </w:r>
      <w:r w:rsidR="00FA17B0" w:rsidRPr="00266C7E">
        <w:rPr>
          <w:rFonts w:cs="Times New Roman"/>
        </w:rPr>
        <w:t>fakturuje</w:t>
      </w:r>
      <w:r w:rsidRPr="00266C7E">
        <w:rPr>
          <w:rFonts w:cs="Times New Roman"/>
        </w:rPr>
        <w:t xml:space="preserve"> k cenám podľa platného Cenníka daň z pridanej hodnoty podľa zákona č. 222/2004 Z. z. o dani z pridanej hodnoty v znení neskorších predpisov. V prípade zmien právnych predpisov, upravujúcich daň z pridanej hodnoty, bude táto vypočítaná na základe zmenených právnych predpisov platných v čase poskytnutia služby.</w:t>
      </w:r>
    </w:p>
    <w:p w:rsidR="005B68B7" w:rsidRPr="00AD002F" w:rsidRDefault="005B68B7" w:rsidP="006229BB">
      <w:pPr>
        <w:ind w:firstLine="0"/>
        <w:jc w:val="both"/>
        <w:rPr>
          <w:rFonts w:ascii="Times New Roman" w:hAnsi="Times New Roman" w:cs="Times New Roman"/>
          <w:sz w:val="24"/>
        </w:rPr>
      </w:pPr>
    </w:p>
    <w:p w:rsidR="007720F0" w:rsidRDefault="006C74E7" w:rsidP="00B15255">
      <w:pPr>
        <w:pStyle w:val="Nadpis2"/>
        <w:numPr>
          <w:ilvl w:val="0"/>
          <w:numId w:val="13"/>
        </w:numPr>
        <w:ind w:left="567" w:hanging="567"/>
      </w:pPr>
      <w:r w:rsidRPr="00006276">
        <w:t>ZODPOVEDNOSŤ ZA ŠKODU</w:t>
      </w:r>
    </w:p>
    <w:p w:rsidR="002330A1" w:rsidRPr="002330A1" w:rsidRDefault="002330A1" w:rsidP="002330A1">
      <w:pPr>
        <w:ind w:firstLine="0"/>
        <w:rPr>
          <w:rFonts w:cs="Times New Roman"/>
          <w:szCs w:val="24"/>
        </w:rPr>
      </w:pPr>
    </w:p>
    <w:p w:rsidR="00D95255" w:rsidRDefault="002330A1" w:rsidP="00681A93">
      <w:pPr>
        <w:numPr>
          <w:ilvl w:val="0"/>
          <w:numId w:val="10"/>
        </w:numPr>
        <w:ind w:left="567" w:hanging="567"/>
        <w:jc w:val="both"/>
        <w:rPr>
          <w:rFonts w:cs="Times New Roman"/>
        </w:rPr>
      </w:pPr>
      <w:r w:rsidRPr="00B57FD6">
        <w:t xml:space="preserve">Pri predkladaní </w:t>
      </w:r>
      <w:r w:rsidR="00780F2B">
        <w:t>požiadaviek na službu</w:t>
      </w:r>
      <w:r w:rsidRPr="00B57FD6">
        <w:t xml:space="preserve"> nesie emitent zodpovednosť za všetku škodu spôsobenú tým, že si nezabezpečil, nezistil, nenechal doložiť pred zadaním p</w:t>
      </w:r>
      <w:r w:rsidR="009A648F">
        <w:t>ríkazu</w:t>
      </w:r>
      <w:r w:rsidRPr="00B57FD6">
        <w:t xml:space="preserve"> do Centrálneho depozitára všetky potrebné doklady, ktoré ho oprávňujú </w:t>
      </w:r>
      <w:r w:rsidR="00B15255">
        <w:t>podať takúto požiadavku na službu</w:t>
      </w:r>
      <w:r w:rsidRPr="00B57FD6">
        <w:t xml:space="preserve"> a právne </w:t>
      </w:r>
      <w:r w:rsidR="00B15255">
        <w:t>ju</w:t>
      </w:r>
      <w:r w:rsidRPr="00B57FD6">
        <w:t xml:space="preserve"> odôvodňujú. Ak požadované zápisy do ev</w:t>
      </w:r>
      <w:r w:rsidR="00B15255">
        <w:t>idencie Centrálneho depozitára</w:t>
      </w:r>
      <w:r w:rsidRPr="00B57FD6">
        <w:t>, vyžadujú povolenie (súhlas, rozhodnutie a pod.) príslušného štátneho orgánu</w:t>
      </w:r>
      <w:r w:rsidR="00D95255">
        <w:t xml:space="preserve"> alebo subjektu</w:t>
      </w:r>
      <w:r w:rsidRPr="00B57FD6">
        <w:t xml:space="preserve">, zodpovedá emitent za to, že podá </w:t>
      </w:r>
      <w:r w:rsidR="00B15255">
        <w:t>požiadavku na službu</w:t>
      </w:r>
      <w:r w:rsidRPr="00B57FD6">
        <w:t xml:space="preserve"> do Centrálneho depozitára na ich </w:t>
      </w:r>
      <w:r w:rsidR="00B15255">
        <w:t>vykonanie</w:t>
      </w:r>
      <w:r w:rsidRPr="00B57FD6">
        <w:t xml:space="preserve"> až potom, keď zabezpečí, že takéto povolenie (súhlas, rozhodnutie a pod.) bolo emitentovi udelené.</w:t>
      </w:r>
    </w:p>
    <w:p w:rsidR="00780F2B" w:rsidRPr="00780F2B" w:rsidRDefault="006C74E7" w:rsidP="00780F2B">
      <w:pPr>
        <w:numPr>
          <w:ilvl w:val="0"/>
          <w:numId w:val="10"/>
        </w:numPr>
        <w:ind w:left="567" w:hanging="567"/>
        <w:jc w:val="both"/>
        <w:rPr>
          <w:rFonts w:cs="Times New Roman"/>
        </w:rPr>
      </w:pPr>
      <w:r w:rsidRPr="00D95255">
        <w:rPr>
          <w:rFonts w:cs="Times New Roman"/>
        </w:rPr>
        <w:t xml:space="preserve">Emitent zodpovedá za škody, ktoré vznikli tým, že neposkytol </w:t>
      </w:r>
      <w:r w:rsidR="00D95255">
        <w:rPr>
          <w:rFonts w:cs="Times New Roman"/>
        </w:rPr>
        <w:t>C</w:t>
      </w:r>
      <w:r w:rsidRPr="00D95255">
        <w:rPr>
          <w:rFonts w:cs="Times New Roman"/>
        </w:rPr>
        <w:t xml:space="preserve">entrálnemu depozitáru pre jeho činnosť, dohodnutú podľa </w:t>
      </w:r>
      <w:r w:rsidR="00D95255">
        <w:rPr>
          <w:rFonts w:cs="Times New Roman"/>
        </w:rPr>
        <w:t>Z</w:t>
      </w:r>
      <w:r w:rsidRPr="00D95255">
        <w:rPr>
          <w:rFonts w:cs="Times New Roman"/>
        </w:rPr>
        <w:t>mluvy</w:t>
      </w:r>
      <w:r w:rsidR="00A97E6F">
        <w:rPr>
          <w:rFonts w:cs="Times New Roman"/>
        </w:rPr>
        <w:t xml:space="preserve"> o vedení zoznamu akcionárov</w:t>
      </w:r>
      <w:r w:rsidRPr="00D95255">
        <w:rPr>
          <w:rFonts w:cs="Times New Roman"/>
        </w:rPr>
        <w:t>, potrebné doklady (údaje), alebo ich poskytol oneskorene alebo nesprávne alebo neúplne alebo v inej ako požadovanej alebo dohodnutej forme, alebo ak postupoval v rozpore s</w:t>
      </w:r>
      <w:r w:rsidR="00F73C9F" w:rsidRPr="00D95255">
        <w:rPr>
          <w:rFonts w:cs="Times New Roman"/>
        </w:rPr>
        <w:t>o</w:t>
      </w:r>
      <w:r w:rsidR="00402E61">
        <w:rPr>
          <w:rFonts w:cs="Times New Roman"/>
        </w:rPr>
        <w:t xml:space="preserve"> Z</w:t>
      </w:r>
      <w:r w:rsidRPr="00D95255">
        <w:rPr>
          <w:rFonts w:cs="Times New Roman"/>
        </w:rPr>
        <w:t>mluvou</w:t>
      </w:r>
      <w:r w:rsidR="00402E61">
        <w:rPr>
          <w:rFonts w:cs="Times New Roman"/>
        </w:rPr>
        <w:t xml:space="preserve"> o</w:t>
      </w:r>
      <w:r w:rsidR="00780F2B">
        <w:rPr>
          <w:rFonts w:cs="Times New Roman"/>
        </w:rPr>
        <w:t> vedení zoznamu akcionárov</w:t>
      </w:r>
      <w:r w:rsidR="00402E61">
        <w:rPr>
          <w:rFonts w:cs="Times New Roman"/>
        </w:rPr>
        <w:t xml:space="preserve"> a Obchodnými podmienkami</w:t>
      </w:r>
      <w:r w:rsidR="00780F2B">
        <w:rPr>
          <w:rFonts w:cs="Times New Roman"/>
        </w:rPr>
        <w:t>, Prevádzkovým poriadok alebo osobitnými právnymi predpismi.</w:t>
      </w:r>
    </w:p>
    <w:p w:rsidR="006C74E7" w:rsidRDefault="006C74E7" w:rsidP="00681A93">
      <w:pPr>
        <w:numPr>
          <w:ilvl w:val="0"/>
          <w:numId w:val="10"/>
        </w:numPr>
        <w:ind w:left="567" w:hanging="567"/>
        <w:jc w:val="both"/>
        <w:rPr>
          <w:rFonts w:cs="Times New Roman"/>
        </w:rPr>
      </w:pPr>
      <w:r w:rsidRPr="002B5F4C">
        <w:rPr>
          <w:rFonts w:cs="Times New Roman"/>
        </w:rPr>
        <w:t xml:space="preserve">Emitent zodpovedá za to, </w:t>
      </w:r>
      <w:r w:rsidR="00D95255">
        <w:rPr>
          <w:rFonts w:cs="Times New Roman"/>
        </w:rPr>
        <w:t xml:space="preserve">že všetky údaje, ktoré uviedol </w:t>
      </w:r>
      <w:r w:rsidR="00780F2B">
        <w:rPr>
          <w:rFonts w:cs="Times New Roman"/>
        </w:rPr>
        <w:t>požiadavkách na službu (napr. v Zmluve o vedení zoznamu akcionárov, príkazoch)</w:t>
      </w:r>
      <w:r w:rsidRPr="002B5F4C">
        <w:rPr>
          <w:rFonts w:cs="Times New Roman"/>
        </w:rPr>
        <w:t xml:space="preserve">, resp. </w:t>
      </w:r>
      <w:r w:rsidRPr="002B5F4C">
        <w:rPr>
          <w:rFonts w:cs="Times New Roman"/>
        </w:rPr>
        <w:lastRenderedPageBreak/>
        <w:t>odovzdal dohodnutým spôsobom, sú pravdivé, správne, úplné a právne odôvodnené.</w:t>
      </w:r>
      <w:r w:rsidR="002B5F4C" w:rsidRPr="002B5F4C">
        <w:rPr>
          <w:rFonts w:cs="Times New Roman"/>
        </w:rPr>
        <w:t xml:space="preserve"> Centrálny depozitár</w:t>
      </w:r>
      <w:r w:rsidRPr="002B5F4C">
        <w:rPr>
          <w:rFonts w:cs="Times New Roman"/>
        </w:rPr>
        <w:t xml:space="preserve"> nezodpovedá za údaje predložené emitentom podľa predchádzajúcej vety.</w:t>
      </w:r>
    </w:p>
    <w:p w:rsidR="00780F2B" w:rsidRPr="00780F2B" w:rsidRDefault="00780F2B" w:rsidP="00780F2B">
      <w:pPr>
        <w:numPr>
          <w:ilvl w:val="0"/>
          <w:numId w:val="10"/>
        </w:numPr>
        <w:ind w:left="567" w:hanging="567"/>
        <w:jc w:val="both"/>
        <w:rPr>
          <w:rFonts w:cs="Times New Roman"/>
          <w:sz w:val="20"/>
        </w:rPr>
      </w:pPr>
      <w:r w:rsidRPr="00780F2B">
        <w:t xml:space="preserve">Emitent zodpovedá za škodu, ktorá vznikla porušením tejto povinnosti tým, že  nepožiadal Centrálny depozitár o vykonanie zmeny akcionára, zmenu </w:t>
      </w:r>
      <w:r w:rsidR="00222425">
        <w:t xml:space="preserve">identifikačných </w:t>
      </w:r>
      <w:r w:rsidRPr="00780F2B">
        <w:t>údajov o akcionárovi  (napr. zmena bydliska, mena atď.) bez zbytočného odkladu po tom, čo sa o takejto skutočnosti dozvedel, nevykonal ďalšie nevyhnuté zmeny údajov v súvislosti s vedením zoznamu akcionárov.</w:t>
      </w:r>
    </w:p>
    <w:p w:rsidR="006C74E7" w:rsidRPr="002B5F4C" w:rsidRDefault="006C74E7" w:rsidP="00681A93">
      <w:pPr>
        <w:pStyle w:val="Odsekzoznamu"/>
        <w:numPr>
          <w:ilvl w:val="0"/>
          <w:numId w:val="10"/>
        </w:numPr>
        <w:ind w:left="567" w:hanging="567"/>
        <w:jc w:val="both"/>
        <w:rPr>
          <w:rFonts w:cs="Times New Roman"/>
          <w:b/>
        </w:rPr>
      </w:pPr>
      <w:r w:rsidRPr="002B5F4C">
        <w:rPr>
          <w:rFonts w:cs="Times New Roman"/>
        </w:rPr>
        <w:t>Emitent zodpovedá za škodu vzniknutú nesúladom údajov uvedenýc</w:t>
      </w:r>
      <w:r w:rsidR="00D95255">
        <w:rPr>
          <w:rFonts w:cs="Times New Roman"/>
        </w:rPr>
        <w:t>h v Z</w:t>
      </w:r>
      <w:r w:rsidR="002B5F4C" w:rsidRPr="002B5F4C">
        <w:rPr>
          <w:rFonts w:cs="Times New Roman"/>
        </w:rPr>
        <w:t>mluve</w:t>
      </w:r>
      <w:r w:rsidR="00D95255">
        <w:rPr>
          <w:rFonts w:cs="Times New Roman"/>
        </w:rPr>
        <w:t xml:space="preserve"> o</w:t>
      </w:r>
      <w:r w:rsidR="00780F2B">
        <w:rPr>
          <w:rFonts w:cs="Times New Roman"/>
        </w:rPr>
        <w:t> vedení zoznamu akcionárov</w:t>
      </w:r>
      <w:r w:rsidR="002B5F4C" w:rsidRPr="002B5F4C">
        <w:rPr>
          <w:rFonts w:cs="Times New Roman"/>
        </w:rPr>
        <w:t>, resp. jej dodatkoch</w:t>
      </w:r>
      <w:r w:rsidR="00D95255">
        <w:rPr>
          <w:rFonts w:cs="Times New Roman"/>
        </w:rPr>
        <w:t xml:space="preserve"> a prílohách </w:t>
      </w:r>
      <w:r w:rsidRPr="002B5F4C">
        <w:rPr>
          <w:rFonts w:cs="Times New Roman"/>
        </w:rPr>
        <w:t>a</w:t>
      </w:r>
      <w:r w:rsidR="00D95255">
        <w:rPr>
          <w:rFonts w:cs="Times New Roman"/>
        </w:rPr>
        <w:t xml:space="preserve">lebo </w:t>
      </w:r>
      <w:r w:rsidR="00402E61">
        <w:rPr>
          <w:rFonts w:cs="Times New Roman"/>
        </w:rPr>
        <w:t>príkazoch podávaných prostredníctvom predpísaných formulárov</w:t>
      </w:r>
      <w:r w:rsidRPr="002B5F4C">
        <w:rPr>
          <w:rFonts w:cs="Times New Roman"/>
        </w:rPr>
        <w:t>. Centrálny depozitár nezodpovedá za nesúlad týchto údajov.</w:t>
      </w:r>
    </w:p>
    <w:p w:rsidR="00112C46" w:rsidRDefault="006C74E7" w:rsidP="00681A93">
      <w:pPr>
        <w:numPr>
          <w:ilvl w:val="0"/>
          <w:numId w:val="10"/>
        </w:numPr>
        <w:ind w:left="567" w:hanging="567"/>
        <w:jc w:val="both"/>
        <w:rPr>
          <w:rFonts w:cs="Times New Roman"/>
        </w:rPr>
      </w:pPr>
      <w:r w:rsidRPr="002B5F4C">
        <w:rPr>
          <w:rFonts w:cs="Times New Roman"/>
        </w:rPr>
        <w:t xml:space="preserve">Centrálny depozitár zodpovedá za škody, ktoré spôsobil emitentovi nesprávnym, neúplným alebo oneskoreným vykonaním jeho </w:t>
      </w:r>
      <w:r w:rsidR="00780F2B">
        <w:rPr>
          <w:rFonts w:cs="Times New Roman"/>
        </w:rPr>
        <w:t>požiadaviek na službu</w:t>
      </w:r>
      <w:r w:rsidRPr="002B5F4C">
        <w:rPr>
          <w:rFonts w:cs="Times New Roman"/>
        </w:rPr>
        <w:t>, alebo ak postupoval v rozpore s</w:t>
      </w:r>
      <w:r w:rsidR="00D95255">
        <w:rPr>
          <w:rFonts w:cs="Times New Roman"/>
        </w:rPr>
        <w:t>o  Z</w:t>
      </w:r>
      <w:r w:rsidRPr="002B5F4C">
        <w:rPr>
          <w:rFonts w:cs="Times New Roman"/>
        </w:rPr>
        <w:t>mluvou</w:t>
      </w:r>
      <w:r w:rsidR="00D95255">
        <w:rPr>
          <w:rFonts w:cs="Times New Roman"/>
        </w:rPr>
        <w:t xml:space="preserve"> o</w:t>
      </w:r>
      <w:r w:rsidR="00780F2B">
        <w:rPr>
          <w:rFonts w:cs="Times New Roman"/>
        </w:rPr>
        <w:t> vedení zoznamu akcionárov</w:t>
      </w:r>
      <w:r w:rsidR="00D95255">
        <w:rPr>
          <w:rFonts w:cs="Times New Roman"/>
        </w:rPr>
        <w:t xml:space="preserve"> alebo Obchodnými podmienkami</w:t>
      </w:r>
      <w:r w:rsidRPr="002B5F4C">
        <w:rPr>
          <w:rFonts w:cs="Times New Roman"/>
        </w:rPr>
        <w:t>.</w:t>
      </w:r>
    </w:p>
    <w:p w:rsidR="006509A8" w:rsidRPr="000912E3" w:rsidRDefault="00585C4A" w:rsidP="000912E3">
      <w:pPr>
        <w:numPr>
          <w:ilvl w:val="0"/>
          <w:numId w:val="10"/>
        </w:numPr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Emitent, ktorý predkladá </w:t>
      </w:r>
      <w:r w:rsidR="00B15255">
        <w:rPr>
          <w:rFonts w:cs="Times New Roman"/>
        </w:rPr>
        <w:t>požiadavku na službu</w:t>
      </w:r>
      <w:r>
        <w:rPr>
          <w:rFonts w:cs="Times New Roman"/>
        </w:rPr>
        <w:t xml:space="preserve"> prostredníctvom technických nosičov</w:t>
      </w:r>
      <w:r w:rsidR="001A057E">
        <w:rPr>
          <w:rFonts w:cs="Times New Roman"/>
        </w:rPr>
        <w:t>,</w:t>
      </w:r>
      <w:r>
        <w:rPr>
          <w:rFonts w:cs="Times New Roman"/>
        </w:rPr>
        <w:t xml:space="preserve"> v plnom rozsahu zodpovedá za technickú bezpečnosť </w:t>
      </w:r>
      <w:r w:rsidR="00A36806">
        <w:rPr>
          <w:rFonts w:cs="Times New Roman"/>
        </w:rPr>
        <w:t>týchto nosičov a bezpečnosť údajov v nich obsiahnutých. Emitent zároveň zodpovedá za škodu</w:t>
      </w:r>
      <w:r>
        <w:rPr>
          <w:rFonts w:cs="Times New Roman"/>
        </w:rPr>
        <w:t xml:space="preserve">, ktorá vznikne Centrálnemu depozitáru v dôsledku </w:t>
      </w:r>
      <w:r w:rsidR="00A36806">
        <w:rPr>
          <w:rFonts w:cs="Times New Roman"/>
        </w:rPr>
        <w:t>toho</w:t>
      </w:r>
      <w:r w:rsidR="001A057E">
        <w:rPr>
          <w:rFonts w:cs="Times New Roman"/>
        </w:rPr>
        <w:t>,</w:t>
      </w:r>
      <w:r w:rsidR="00A36806">
        <w:rPr>
          <w:rFonts w:cs="Times New Roman"/>
        </w:rPr>
        <w:t xml:space="preserve"> že nezabezpečil potrebnú bezpečnosť technických nosičov v súvislosti s ich aplikáciou v rámci technického vybavenia Centrálneho depozitára pri predložení požiadavky na službu.</w:t>
      </w:r>
    </w:p>
    <w:p w:rsidR="00556653" w:rsidRPr="00006276" w:rsidRDefault="001C6BBF" w:rsidP="00B15255">
      <w:pPr>
        <w:pStyle w:val="Nadpis2"/>
        <w:numPr>
          <w:ilvl w:val="0"/>
          <w:numId w:val="13"/>
        </w:numPr>
        <w:ind w:left="567" w:hanging="567"/>
      </w:pPr>
      <w:r>
        <w:t xml:space="preserve"> ZRUŠENIE REGISTRÁCIE </w:t>
      </w:r>
      <w:r w:rsidR="00780F2B">
        <w:t>ZOZN</w:t>
      </w:r>
      <w:r w:rsidR="00C0463A">
        <w:t>A</w:t>
      </w:r>
      <w:r w:rsidR="00780F2B">
        <w:t>MU AKCIONÁROV</w:t>
      </w:r>
    </w:p>
    <w:p w:rsidR="008D2449" w:rsidRDefault="008D2449" w:rsidP="00556653">
      <w:pPr>
        <w:pStyle w:val="Odsekzoznamu"/>
        <w:ind w:left="360"/>
        <w:jc w:val="both"/>
        <w:rPr>
          <w:rFonts w:ascii="Times New Roman" w:hAnsi="Times New Roman" w:cs="Times New Roman"/>
        </w:rPr>
      </w:pPr>
    </w:p>
    <w:p w:rsidR="00A50F38" w:rsidRPr="00A50F38" w:rsidRDefault="00A50F38" w:rsidP="00A50F38">
      <w:pPr>
        <w:pStyle w:val="Odsekzoznamu"/>
        <w:numPr>
          <w:ilvl w:val="0"/>
          <w:numId w:val="11"/>
        </w:numPr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Zrušením registrácie zoznamu akcionárov sa rozumie </w:t>
      </w:r>
      <w:r>
        <w:t xml:space="preserve">zrušenie </w:t>
      </w:r>
      <w:r>
        <w:lastRenderedPageBreak/>
        <w:t>registrácie a ukončenie vedenia zákonom ustanoveného zoznamu akcionárov listin</w:t>
      </w:r>
      <w:r w:rsidR="00AE4F02">
        <w:t>ných akcií na meno v evidencii C</w:t>
      </w:r>
      <w:r>
        <w:t>entrálneho depozitára.</w:t>
      </w:r>
    </w:p>
    <w:p w:rsidR="005F23D3" w:rsidRDefault="00A50F38" w:rsidP="005F23D3">
      <w:pPr>
        <w:pStyle w:val="Odsekzoznamu"/>
        <w:numPr>
          <w:ilvl w:val="0"/>
          <w:numId w:val="11"/>
        </w:numPr>
        <w:ind w:left="567" w:hanging="567"/>
        <w:jc w:val="both"/>
        <w:rPr>
          <w:rFonts w:cs="Times New Roman"/>
          <w:szCs w:val="24"/>
        </w:rPr>
      </w:pPr>
      <w:r w:rsidRPr="00A50F38">
        <w:rPr>
          <w:rFonts w:cs="Times New Roman"/>
          <w:szCs w:val="24"/>
        </w:rPr>
        <w:t xml:space="preserve">Požiadavku na službu – zrušenie registrácie </w:t>
      </w:r>
      <w:r>
        <w:rPr>
          <w:rFonts w:cs="Times New Roman"/>
          <w:szCs w:val="24"/>
        </w:rPr>
        <w:t>zoznamu akcionárov</w:t>
      </w:r>
      <w:r w:rsidRPr="00A50F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podáva emitent</w:t>
      </w:r>
      <w:r w:rsidR="005F23D3">
        <w:rPr>
          <w:rFonts w:cs="Times New Roman"/>
          <w:szCs w:val="24"/>
        </w:rPr>
        <w:t xml:space="preserve">, </w:t>
      </w:r>
      <w:r w:rsidR="005F23D3">
        <w:rPr>
          <w:rFonts w:cs="Times New Roman"/>
        </w:rPr>
        <w:t>resp. iná osoba, oprávnená konať v mene emitenta v prípade zrušeni</w:t>
      </w:r>
      <w:r w:rsidR="00932A9A">
        <w:rPr>
          <w:rFonts w:cs="Times New Roman"/>
        </w:rPr>
        <w:t>a</w:t>
      </w:r>
      <w:r w:rsidR="005F23D3">
        <w:rPr>
          <w:rFonts w:cs="Times New Roman"/>
        </w:rPr>
        <w:t xml:space="preserve"> registrácie zoznamu akcionárov,</w:t>
      </w:r>
      <w:r w:rsidRPr="00A50F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na základe </w:t>
      </w:r>
      <w:r w:rsidRPr="00A50F38">
        <w:rPr>
          <w:rFonts w:cs="Times New Roman"/>
          <w:szCs w:val="24"/>
        </w:rPr>
        <w:t xml:space="preserve">príkazu podaného na predpísanom formulári, ktorý je prístupný v sídle Centrálneho depozitára a zverejnený na webovej stránke </w:t>
      </w:r>
      <w:hyperlink r:id="rId18" w:history="1">
        <w:r w:rsidRPr="00A50F38">
          <w:rPr>
            <w:rStyle w:val="Hypertextovprepojenie"/>
            <w:rFonts w:cs="Times New Roman"/>
            <w:color w:val="auto"/>
            <w:szCs w:val="24"/>
          </w:rPr>
          <w:t>www.cdcp.sk</w:t>
        </w:r>
      </w:hyperlink>
      <w:r w:rsidRPr="00A50F3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387EAC">
        <w:rPr>
          <w:rFonts w:cs="Times New Roman"/>
          <w:szCs w:val="24"/>
        </w:rPr>
        <w:t xml:space="preserve"> Emitent</w:t>
      </w:r>
      <w:r w:rsidR="005F23D3">
        <w:rPr>
          <w:rFonts w:cs="Times New Roman"/>
          <w:szCs w:val="24"/>
        </w:rPr>
        <w:t xml:space="preserve"> alebo iná oprávnená osoba sú oprávnení</w:t>
      </w:r>
      <w:r w:rsidR="00387EAC">
        <w:rPr>
          <w:rFonts w:cs="Times New Roman"/>
          <w:szCs w:val="24"/>
        </w:rPr>
        <w:t xml:space="preserve"> prostredníctvom jedného príkazu podať požiadavku na zrušenie registrácie viacerých zoznamov akcionárov, pričom zrušenie každého zoznamu akcionárov sa považuje za poskytnutie samostatnej služby, spoplatnenej v súlade s Cenníkom.</w:t>
      </w:r>
    </w:p>
    <w:p w:rsidR="005F23D3" w:rsidRPr="005F23D3" w:rsidRDefault="005F23D3" w:rsidP="005F23D3">
      <w:pPr>
        <w:pStyle w:val="Odsekzoznamu"/>
        <w:numPr>
          <w:ilvl w:val="0"/>
          <w:numId w:val="11"/>
        </w:numPr>
        <w:ind w:left="567" w:hanging="567"/>
        <w:jc w:val="both"/>
        <w:rPr>
          <w:rFonts w:cs="Times New Roman"/>
          <w:szCs w:val="24"/>
        </w:rPr>
      </w:pPr>
      <w:r w:rsidRPr="005F23D3">
        <w:rPr>
          <w:rFonts w:cs="Times New Roman"/>
        </w:rPr>
        <w:t xml:space="preserve">V prípade, ak požiadavku na zrušenie registrácie </w:t>
      </w:r>
      <w:r>
        <w:rPr>
          <w:rFonts w:cs="Times New Roman"/>
        </w:rPr>
        <w:t>zoznamu akcionárov</w:t>
      </w:r>
      <w:r w:rsidRPr="005F23D3">
        <w:rPr>
          <w:rFonts w:cs="Times New Roman"/>
        </w:rPr>
        <w:t xml:space="preserve"> podáva iná oprávnená osoba ako emitent (napr. právny nástupca emitenta), je táto osoba povinná predložiť relevantné doklady preukazujúce jej oprávnenie na podanie príkazu (napr. doklady preukazujúce právne nástupníctvo). </w:t>
      </w:r>
    </w:p>
    <w:p w:rsidR="001372F9" w:rsidRPr="00387EAC" w:rsidRDefault="00A50F38" w:rsidP="001372F9">
      <w:pPr>
        <w:pStyle w:val="Odsekzoznamu"/>
        <w:numPr>
          <w:ilvl w:val="0"/>
          <w:numId w:val="11"/>
        </w:numPr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</w:rPr>
        <w:t>Emitent</w:t>
      </w:r>
      <w:r w:rsidR="005F23D3">
        <w:rPr>
          <w:rFonts w:cs="Times New Roman"/>
        </w:rPr>
        <w:t xml:space="preserve"> alebo iná oprávnená osoba</w:t>
      </w:r>
      <w:r w:rsidRPr="00BA64AC">
        <w:rPr>
          <w:rFonts w:cs="Times New Roman"/>
          <w:szCs w:val="24"/>
        </w:rPr>
        <w:t xml:space="preserve"> je v prípade podania p</w:t>
      </w:r>
      <w:r w:rsidR="00AE4F02">
        <w:rPr>
          <w:rFonts w:cs="Times New Roman"/>
          <w:szCs w:val="24"/>
        </w:rPr>
        <w:t xml:space="preserve">ríkazu </w:t>
      </w:r>
      <w:r w:rsidRPr="00BA64AC">
        <w:rPr>
          <w:rFonts w:cs="Times New Roman"/>
          <w:szCs w:val="24"/>
        </w:rPr>
        <w:t xml:space="preserve">podľa bodu </w:t>
      </w:r>
      <w:r w:rsidR="00AE4F02" w:rsidRPr="005F23D3">
        <w:rPr>
          <w:rFonts w:cs="Times New Roman"/>
          <w:szCs w:val="24"/>
        </w:rPr>
        <w:t>1</w:t>
      </w:r>
      <w:r w:rsidR="00AA131E" w:rsidRPr="005F23D3">
        <w:rPr>
          <w:rFonts w:cs="Times New Roman"/>
          <w:szCs w:val="24"/>
        </w:rPr>
        <w:t>3</w:t>
      </w:r>
      <w:r w:rsidRPr="005F23D3">
        <w:rPr>
          <w:rFonts w:cs="Times New Roman"/>
          <w:szCs w:val="24"/>
        </w:rPr>
        <w:t>.2</w:t>
      </w:r>
      <w:r w:rsidR="005F23D3">
        <w:rPr>
          <w:rFonts w:cs="Times New Roman"/>
          <w:szCs w:val="24"/>
        </w:rPr>
        <w:t xml:space="preserve"> Obchodných podmienok povinná </w:t>
      </w:r>
      <w:r w:rsidRPr="00BA64AC">
        <w:rPr>
          <w:rFonts w:cs="Times New Roman"/>
          <w:szCs w:val="24"/>
        </w:rPr>
        <w:t xml:space="preserve">uhradiť preddavok </w:t>
      </w:r>
      <w:r w:rsidRPr="000C529A">
        <w:rPr>
          <w:rFonts w:cs="Times New Roman"/>
          <w:szCs w:val="24"/>
        </w:rPr>
        <w:t xml:space="preserve">v plnej výške poplatku za zrušenie registrácie </w:t>
      </w:r>
      <w:r>
        <w:rPr>
          <w:rFonts w:cs="Times New Roman"/>
          <w:szCs w:val="24"/>
        </w:rPr>
        <w:t>vedenia zoznamu akcionárov</w:t>
      </w:r>
      <w:r w:rsidRPr="00BA64AC">
        <w:rPr>
          <w:rFonts w:cs="Times New Roman"/>
          <w:szCs w:val="24"/>
        </w:rPr>
        <w:t xml:space="preserve"> </w:t>
      </w:r>
      <w:r w:rsidR="00387EAC">
        <w:rPr>
          <w:rFonts w:cs="Times New Roman"/>
          <w:szCs w:val="24"/>
        </w:rPr>
        <w:t xml:space="preserve"> a v plnej výške poplatku za vedenie zoznamu akcionárov za rok, v ktorom emitent ruší registráciu zoznamu akcionárov, </w:t>
      </w:r>
      <w:r w:rsidRPr="00BA64AC">
        <w:rPr>
          <w:rFonts w:cs="Times New Roman"/>
        </w:rPr>
        <w:t>v súlade so základnou sadzbou stanovenou Cenníkom na základe vystavenej preddavkovej faktúry. Preddavkovú fak</w:t>
      </w:r>
      <w:r>
        <w:rPr>
          <w:rFonts w:cs="Times New Roman"/>
        </w:rPr>
        <w:t>túru doručí Centrálny depozitár</w:t>
      </w:r>
      <w:r w:rsidRPr="00BA64AC">
        <w:rPr>
          <w:rFonts w:cs="Times New Roman"/>
          <w:szCs w:val="24"/>
        </w:rPr>
        <w:t xml:space="preserve"> emitentovi </w:t>
      </w:r>
      <w:r w:rsidR="005F23D3">
        <w:rPr>
          <w:rFonts w:cs="Times New Roman"/>
          <w:szCs w:val="24"/>
        </w:rPr>
        <w:t xml:space="preserve">alebo inej oprávnenej osobe </w:t>
      </w:r>
      <w:r w:rsidRPr="00BA64AC">
        <w:rPr>
          <w:rFonts w:cs="Times New Roman"/>
          <w:szCs w:val="24"/>
        </w:rPr>
        <w:t>bezodkladne po doručení p</w:t>
      </w:r>
      <w:r>
        <w:rPr>
          <w:rFonts w:cs="Times New Roman"/>
          <w:szCs w:val="24"/>
        </w:rPr>
        <w:t>ríkazu</w:t>
      </w:r>
      <w:r w:rsidRPr="00BA64AC">
        <w:rPr>
          <w:rFonts w:cs="Times New Roman"/>
          <w:szCs w:val="24"/>
        </w:rPr>
        <w:t xml:space="preserve"> podľa bodu </w:t>
      </w:r>
      <w:r w:rsidR="00AE4F02" w:rsidRPr="005F23D3">
        <w:rPr>
          <w:rFonts w:cs="Times New Roman"/>
          <w:szCs w:val="24"/>
        </w:rPr>
        <w:t>1</w:t>
      </w:r>
      <w:r w:rsidR="00AA131E" w:rsidRPr="005F23D3">
        <w:rPr>
          <w:rFonts w:cs="Times New Roman"/>
          <w:szCs w:val="24"/>
        </w:rPr>
        <w:t>3</w:t>
      </w:r>
      <w:r w:rsidRPr="005F23D3">
        <w:rPr>
          <w:rFonts w:cs="Times New Roman"/>
          <w:szCs w:val="24"/>
        </w:rPr>
        <w:t>.2 Obchodných</w:t>
      </w:r>
      <w:r w:rsidRPr="00BA64AC">
        <w:rPr>
          <w:rFonts w:cs="Times New Roman"/>
          <w:szCs w:val="24"/>
        </w:rPr>
        <w:t xml:space="preserve"> podmienok. Lehota na vykonanie požiadavky na službu</w:t>
      </w:r>
      <w:r w:rsidR="005F23D3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stanovená v zmysle týchto O</w:t>
      </w:r>
      <w:r w:rsidRPr="00BA64AC">
        <w:rPr>
          <w:rFonts w:cs="Times New Roman"/>
          <w:szCs w:val="24"/>
        </w:rPr>
        <w:t>bchodných podmienok</w:t>
      </w:r>
      <w:r>
        <w:rPr>
          <w:rFonts w:cs="Times New Roman"/>
          <w:szCs w:val="24"/>
        </w:rPr>
        <w:t>,</w:t>
      </w:r>
      <w:r w:rsidRPr="00BA64AC">
        <w:rPr>
          <w:rFonts w:cs="Times New Roman"/>
          <w:szCs w:val="24"/>
        </w:rPr>
        <w:t xml:space="preserve"> začína plynúť </w:t>
      </w:r>
      <w:r>
        <w:rPr>
          <w:rFonts w:cs="Times New Roman"/>
          <w:szCs w:val="24"/>
        </w:rPr>
        <w:t xml:space="preserve">nasledujúci pracovný </w:t>
      </w:r>
      <w:r w:rsidRPr="00BA64AC">
        <w:rPr>
          <w:rFonts w:cs="Times New Roman"/>
          <w:szCs w:val="24"/>
        </w:rPr>
        <w:t>d</w:t>
      </w:r>
      <w:r>
        <w:rPr>
          <w:rFonts w:cs="Times New Roman"/>
          <w:szCs w:val="24"/>
        </w:rPr>
        <w:t>eň</w:t>
      </w:r>
      <w:r w:rsidRPr="00BA64A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odo dňa </w:t>
      </w:r>
      <w:r w:rsidRPr="00BA64AC">
        <w:rPr>
          <w:rFonts w:cs="Times New Roman"/>
          <w:szCs w:val="24"/>
        </w:rPr>
        <w:t xml:space="preserve">uhradenia preddavku podľa tohto ustanovenia. </w:t>
      </w:r>
      <w:r w:rsidRPr="00BA64AC">
        <w:rPr>
          <w:rFonts w:cs="Times New Roman"/>
        </w:rPr>
        <w:t xml:space="preserve">Po </w:t>
      </w:r>
      <w:r w:rsidRPr="00BA64AC">
        <w:rPr>
          <w:rFonts w:cs="Times New Roman"/>
        </w:rPr>
        <w:lastRenderedPageBreak/>
        <w:t xml:space="preserve">vykonaní registrácie zrušenia </w:t>
      </w:r>
      <w:r>
        <w:rPr>
          <w:rFonts w:cs="Times New Roman"/>
        </w:rPr>
        <w:t>vedenia zoznamu akcionárov</w:t>
      </w:r>
      <w:r w:rsidRPr="00BA64AC">
        <w:rPr>
          <w:rFonts w:cs="Times New Roman"/>
        </w:rPr>
        <w:t xml:space="preserve"> vystaví Centrálny depozitár realizačnú faktúru s odpočítaným uhradeným p</w:t>
      </w:r>
      <w:r>
        <w:rPr>
          <w:rFonts w:cs="Times New Roman"/>
        </w:rPr>
        <w:t xml:space="preserve">reddavkom za poskytnuté služby. </w:t>
      </w:r>
      <w:r w:rsidRPr="00A50F38">
        <w:rPr>
          <w:rFonts w:cs="Times New Roman"/>
        </w:rPr>
        <w:t xml:space="preserve">V prípade, ak emitent </w:t>
      </w:r>
      <w:r w:rsidR="005F23D3">
        <w:rPr>
          <w:rFonts w:cs="Times New Roman"/>
        </w:rPr>
        <w:t xml:space="preserve">alebo iná oprávnená osoba </w:t>
      </w:r>
      <w:r w:rsidRPr="00A50F38">
        <w:rPr>
          <w:rFonts w:cs="Times New Roman"/>
        </w:rPr>
        <w:t xml:space="preserve">neuhradí preddavok v zmysle tohto ustanovenia v lehote 6 mesiacov od nadobudnutia splatnosti preddavkovej faktúry, Centrálny depozitár podaný </w:t>
      </w:r>
      <w:r>
        <w:rPr>
          <w:rFonts w:cs="Times New Roman"/>
        </w:rPr>
        <w:t>príkaz</w:t>
      </w:r>
      <w:r w:rsidRPr="00A50F38">
        <w:rPr>
          <w:rFonts w:cs="Times New Roman"/>
        </w:rPr>
        <w:t xml:space="preserve"> odmietne a požadovanú službu nevykoná. Týmto ustanovením nie je dotknutá povinnosť </w:t>
      </w:r>
      <w:r w:rsidRPr="00625844">
        <w:t xml:space="preserve">uhradiť aj ceny súvisiace </w:t>
      </w:r>
      <w:r>
        <w:t>s poskytnutím ďalších služieb.</w:t>
      </w:r>
    </w:p>
    <w:p w:rsidR="00387EAC" w:rsidRPr="001372F9" w:rsidRDefault="00387EAC" w:rsidP="001372F9">
      <w:pPr>
        <w:pStyle w:val="Odsekzoznamu"/>
        <w:numPr>
          <w:ilvl w:val="0"/>
          <w:numId w:val="11"/>
        </w:numPr>
        <w:ind w:left="567" w:hanging="567"/>
        <w:jc w:val="both"/>
        <w:rPr>
          <w:rFonts w:cs="Times New Roman"/>
          <w:szCs w:val="24"/>
        </w:rPr>
      </w:pPr>
      <w:r>
        <w:t>Centrálny depozitár je oprávnený zrušiť registráciu zoznamu akcionárov aj bez požiadavky podanej emitentom v prípade zániku emitenta bez právneho nástupcu.</w:t>
      </w:r>
    </w:p>
    <w:p w:rsidR="00B15255" w:rsidRDefault="00A50F38" w:rsidP="00C40934">
      <w:pPr>
        <w:pStyle w:val="Odsekzoznamu"/>
        <w:numPr>
          <w:ilvl w:val="0"/>
          <w:numId w:val="11"/>
        </w:numPr>
        <w:ind w:left="567" w:hanging="567"/>
        <w:jc w:val="both"/>
        <w:rPr>
          <w:rFonts w:cs="Times New Roman"/>
          <w:szCs w:val="24"/>
        </w:rPr>
      </w:pPr>
      <w:r w:rsidRPr="001372F9">
        <w:rPr>
          <w:rFonts w:cs="Times New Roman"/>
          <w:szCs w:val="24"/>
        </w:rPr>
        <w:t xml:space="preserve">Zrušením registrácie </w:t>
      </w:r>
      <w:r w:rsidR="001372F9" w:rsidRPr="001372F9">
        <w:rPr>
          <w:rFonts w:cs="Times New Roman"/>
          <w:szCs w:val="24"/>
        </w:rPr>
        <w:t>zoznamu akcionárov</w:t>
      </w:r>
      <w:r w:rsidRPr="001372F9">
        <w:rPr>
          <w:rFonts w:cs="Times New Roman"/>
          <w:szCs w:val="24"/>
        </w:rPr>
        <w:t xml:space="preserve"> zaniká Zmluva o</w:t>
      </w:r>
      <w:r w:rsidR="001372F9" w:rsidRPr="001372F9">
        <w:rPr>
          <w:rFonts w:cs="Times New Roman"/>
          <w:szCs w:val="24"/>
        </w:rPr>
        <w:t> vedení zoznamu akcionárov</w:t>
      </w:r>
      <w:r w:rsidRPr="001372F9">
        <w:rPr>
          <w:rFonts w:cs="Times New Roman"/>
          <w:szCs w:val="24"/>
        </w:rPr>
        <w:t xml:space="preserve">. </w:t>
      </w:r>
    </w:p>
    <w:p w:rsidR="006C74E7" w:rsidRPr="00B3632E" w:rsidRDefault="00B3632E" w:rsidP="00681A93">
      <w:pPr>
        <w:pStyle w:val="Nadpis2"/>
        <w:numPr>
          <w:ilvl w:val="0"/>
          <w:numId w:val="13"/>
        </w:numPr>
      </w:pPr>
      <w:r>
        <w:t xml:space="preserve"> ZÁVEREČNÉ USTANOVENIA</w:t>
      </w:r>
    </w:p>
    <w:p w:rsidR="008D2449" w:rsidRDefault="008D2449" w:rsidP="00556653">
      <w:pPr>
        <w:pStyle w:val="Odsekzoznamu"/>
        <w:ind w:left="360"/>
        <w:jc w:val="both"/>
        <w:rPr>
          <w:rFonts w:ascii="Times New Roman" w:hAnsi="Times New Roman" w:cs="Times New Roman"/>
        </w:rPr>
      </w:pPr>
    </w:p>
    <w:p w:rsidR="005B0934" w:rsidRDefault="005B0934" w:rsidP="00681A93">
      <w:pPr>
        <w:pStyle w:val="Odsekzoznamu"/>
        <w:numPr>
          <w:ilvl w:val="0"/>
          <w:numId w:val="16"/>
        </w:numPr>
        <w:tabs>
          <w:tab w:val="left" w:pos="567"/>
        </w:tabs>
        <w:ind w:left="567" w:hanging="567"/>
        <w:jc w:val="both"/>
        <w:rPr>
          <w:rFonts w:cs="Times New Roman"/>
        </w:rPr>
      </w:pPr>
      <w:r>
        <w:rPr>
          <w:rFonts w:cs="Times New Roman"/>
        </w:rPr>
        <w:t>Tieto Obchodné podmienky tvoria neoddelit</w:t>
      </w:r>
      <w:r w:rsidR="00167945">
        <w:rPr>
          <w:rFonts w:cs="Times New Roman"/>
        </w:rPr>
        <w:t>eľnú súčasť Zmluvy o</w:t>
      </w:r>
      <w:r w:rsidR="00C8388D">
        <w:rPr>
          <w:rFonts w:cs="Times New Roman"/>
        </w:rPr>
        <w:t> vedení zoznamu akcionárov</w:t>
      </w:r>
      <w:r>
        <w:rPr>
          <w:rFonts w:cs="Times New Roman"/>
        </w:rPr>
        <w:t>, ak sa tak emitent s Centrálny depozitárom dohodli.</w:t>
      </w:r>
    </w:p>
    <w:p w:rsidR="005B0934" w:rsidRDefault="00A97E6F" w:rsidP="00681A93">
      <w:pPr>
        <w:pStyle w:val="Odsekzoznamu"/>
        <w:numPr>
          <w:ilvl w:val="0"/>
          <w:numId w:val="16"/>
        </w:numPr>
        <w:tabs>
          <w:tab w:val="left" w:pos="567"/>
        </w:tabs>
        <w:ind w:left="567" w:hanging="567"/>
        <w:jc w:val="both"/>
        <w:rPr>
          <w:rFonts w:cs="Times New Roman"/>
        </w:rPr>
      </w:pPr>
      <w:r>
        <w:rPr>
          <w:rFonts w:cs="Times New Roman"/>
        </w:rPr>
        <w:t>Práva a povinnosti</w:t>
      </w:r>
      <w:r w:rsidR="005B0934">
        <w:rPr>
          <w:rFonts w:cs="Times New Roman"/>
        </w:rPr>
        <w:t xml:space="preserve"> výslovne neupravené v Zmluve o</w:t>
      </w:r>
      <w:r w:rsidR="00D868EA">
        <w:rPr>
          <w:rFonts w:cs="Times New Roman"/>
        </w:rPr>
        <w:t> vedení zoznamu akcionárov</w:t>
      </w:r>
      <w:r w:rsidR="005B0934">
        <w:rPr>
          <w:rFonts w:cs="Times New Roman"/>
        </w:rPr>
        <w:t xml:space="preserve"> a Obchodných podmienkach sa riadia príslušnými ustanoveniami Prevádzkového poriadku a ustanoveniami právnych predpisov.</w:t>
      </w:r>
    </w:p>
    <w:p w:rsidR="00DB1120" w:rsidRPr="00515E6E" w:rsidRDefault="00AF490D" w:rsidP="00515E6E">
      <w:pPr>
        <w:pStyle w:val="Odsekzoznamu"/>
        <w:numPr>
          <w:ilvl w:val="0"/>
          <w:numId w:val="16"/>
        </w:numPr>
        <w:tabs>
          <w:tab w:val="left" w:pos="567"/>
        </w:tabs>
        <w:ind w:left="567" w:hanging="567"/>
        <w:jc w:val="both"/>
        <w:rPr>
          <w:rFonts w:cs="Times New Roman"/>
        </w:rPr>
      </w:pPr>
      <w:r w:rsidRPr="00B3632E">
        <w:rPr>
          <w:rFonts w:cs="Times New Roman"/>
        </w:rPr>
        <w:t>Tiet</w:t>
      </w:r>
      <w:r>
        <w:rPr>
          <w:rFonts w:cs="Times New Roman"/>
        </w:rPr>
        <w:t xml:space="preserve">o Obchodné podmienky nahrádzajú </w:t>
      </w:r>
      <w:r>
        <w:rPr>
          <w:color w:val="000000" w:themeColor="text1"/>
        </w:rPr>
        <w:t xml:space="preserve">obchodné podmienky </w:t>
      </w:r>
      <w:r>
        <w:t xml:space="preserve">k Zmluve s emitentom listinných akcií na meno o vedení zoznamu akcionárov a k Zmluve s emitentom listinných akcií na meno o zrušení zoznamu akcionárov a ukončení vedenia zoznamu akcionárov a o vedení zoznamu akcionárov v súvislosti so zmenou menovitej hodnoty a počtu kusov pri nezmenenej výške základného imania </w:t>
      </w:r>
      <w:r>
        <w:rPr>
          <w:rFonts w:cs="Times New Roman"/>
        </w:rPr>
        <w:t xml:space="preserve">zo dňa 22.03.2017 a nadobúdajú </w:t>
      </w:r>
      <w:r w:rsidRPr="00B3632E">
        <w:rPr>
          <w:rFonts w:cs="Times New Roman"/>
        </w:rPr>
        <w:t>platnosť a účinnosť dňa</w:t>
      </w:r>
      <w:r>
        <w:rPr>
          <w:rFonts w:cs="Times New Roman"/>
        </w:rPr>
        <w:t xml:space="preserve"> </w:t>
      </w:r>
      <w:r w:rsidR="004F46D8">
        <w:rPr>
          <w:rFonts w:cs="Times New Roman"/>
        </w:rPr>
        <w:t>01.10.2017.</w:t>
      </w:r>
    </w:p>
    <w:sectPr w:rsidR="00DB1120" w:rsidRPr="00515E6E" w:rsidSect="00D458F6">
      <w:type w:val="continuous"/>
      <w:pgSz w:w="11906" w:h="16838"/>
      <w:pgMar w:top="1417" w:right="1417" w:bottom="1417" w:left="1417" w:header="283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62" w:rsidRDefault="00807062" w:rsidP="00DC024F">
      <w:r>
        <w:separator/>
      </w:r>
    </w:p>
  </w:endnote>
  <w:endnote w:type="continuationSeparator" w:id="0">
    <w:p w:rsidR="00807062" w:rsidRDefault="00807062" w:rsidP="00DC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72492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D694A" w:rsidRDefault="005D694A">
        <w:pPr>
          <w:pStyle w:val="Pt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DE2">
          <w:rPr>
            <w:noProof/>
          </w:rPr>
          <w:t>2</w:t>
        </w:r>
        <w:r>
          <w:fldChar w:fldCharType="end"/>
        </w:r>
        <w:r>
          <w:t xml:space="preserve"> | </w:t>
        </w:r>
        <w:r w:rsidRPr="005D694A">
          <w:rPr>
            <w:color w:val="808080" w:themeColor="background1" w:themeShade="80"/>
            <w:spacing w:val="60"/>
          </w:rPr>
          <w:t>Strana</w:t>
        </w:r>
      </w:p>
    </w:sdtContent>
  </w:sdt>
  <w:p w:rsidR="001711C3" w:rsidRPr="009726E2" w:rsidRDefault="001711C3">
    <w:pPr>
      <w:pStyle w:val="Pta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53" w:rsidRDefault="00556653" w:rsidP="00556653">
    <w:pPr>
      <w:tabs>
        <w:tab w:val="left" w:pos="3686"/>
        <w:tab w:val="center" w:pos="4536"/>
        <w:tab w:val="left" w:pos="5954"/>
        <w:tab w:val="right" w:pos="9072"/>
      </w:tabs>
      <w:rPr>
        <w:rFonts w:ascii="Times New Roman" w:eastAsia="Times New Roman" w:hAnsi="Times New Roman" w:cs="Times New Roman"/>
        <w:color w:val="595959" w:themeColor="text1" w:themeTint="A6"/>
        <w:sz w:val="16"/>
        <w:szCs w:val="16"/>
        <w:lang w:eastAsia="cs-CZ"/>
      </w:rPr>
    </w:pPr>
  </w:p>
  <w:p w:rsidR="00556653" w:rsidRPr="00556653" w:rsidRDefault="002D2DE2" w:rsidP="00556653">
    <w:pPr>
      <w:rPr>
        <w:color w:val="595959" w:themeColor="text1" w:themeTint="A6"/>
        <w:sz w:val="16"/>
        <w:szCs w:val="16"/>
      </w:rPr>
    </w:pPr>
    <w:r>
      <w:rPr>
        <w:noProof/>
        <w:lang w:eastAsia="sk-SK"/>
      </w:rPr>
      <w:pict>
        <v:line id="Rovná spojnica 6" o:spid="_x0000_s2049" style="position:absolute;left:0;text-align:left;z-index:251659264;visibility:visible;mso-width-relative:margin" from="-70.25pt,18pt" to="529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" strokecolor="#404040 [2429]"/>
      </w:pict>
    </w:r>
  </w:p>
  <w:p w:rsidR="00EE738B" w:rsidRDefault="00EE738B" w:rsidP="00B8157B">
    <w:pPr>
      <w:tabs>
        <w:tab w:val="left" w:pos="3686"/>
        <w:tab w:val="left" w:pos="4253"/>
        <w:tab w:val="center" w:pos="5670"/>
        <w:tab w:val="left" w:pos="6521"/>
        <w:tab w:val="right" w:pos="9498"/>
      </w:tabs>
      <w:ind w:firstLine="0"/>
      <w:rPr>
        <w:color w:val="595959" w:themeColor="text1" w:themeTint="A6"/>
        <w:sz w:val="16"/>
        <w:szCs w:val="16"/>
        <w:lang w:eastAsia="cs-CZ"/>
      </w:rPr>
    </w:pPr>
  </w:p>
  <w:p w:rsidR="00EE738B" w:rsidRPr="00EE738B" w:rsidRDefault="00EE738B" w:rsidP="00B8157B">
    <w:pPr>
      <w:tabs>
        <w:tab w:val="left" w:pos="3686"/>
        <w:tab w:val="left" w:pos="4253"/>
        <w:tab w:val="center" w:pos="5670"/>
        <w:tab w:val="left" w:pos="6521"/>
        <w:tab w:val="right" w:pos="9498"/>
      </w:tabs>
      <w:ind w:firstLine="0"/>
      <w:rPr>
        <w:color w:val="595959" w:themeColor="text1" w:themeTint="A6"/>
        <w:sz w:val="8"/>
        <w:szCs w:val="8"/>
        <w:lang w:eastAsia="cs-CZ"/>
      </w:rPr>
    </w:pPr>
  </w:p>
  <w:p w:rsidR="002D2DE2" w:rsidRDefault="002D2DE2" w:rsidP="002D2DE2">
    <w:pPr>
      <w:tabs>
        <w:tab w:val="left" w:pos="3686"/>
        <w:tab w:val="left" w:pos="4395"/>
        <w:tab w:val="center" w:pos="5670"/>
        <w:tab w:val="left" w:pos="6521"/>
        <w:tab w:val="right" w:pos="9498"/>
      </w:tabs>
      <w:rPr>
        <w:color w:val="595959" w:themeColor="text1" w:themeTint="A6"/>
        <w:sz w:val="16"/>
        <w:szCs w:val="16"/>
        <w:lang w:eastAsia="cs-CZ"/>
      </w:rPr>
    </w:pPr>
    <w:r>
      <w:rPr>
        <w:color w:val="595959" w:themeColor="text1" w:themeTint="A6"/>
        <w:sz w:val="16"/>
        <w:szCs w:val="16"/>
        <w:lang w:eastAsia="cs-CZ"/>
      </w:rPr>
      <w:t>Centrálny depozitár cenných papierov SR, a.s.</w:t>
    </w:r>
    <w:r>
      <w:rPr>
        <w:color w:val="595959" w:themeColor="text1" w:themeTint="A6"/>
        <w:sz w:val="16"/>
        <w:szCs w:val="16"/>
        <w:lang w:eastAsia="cs-CZ"/>
      </w:rPr>
      <w:tab/>
    </w:r>
    <w:r>
      <w:rPr>
        <w:color w:val="595959" w:themeColor="text1" w:themeTint="A6"/>
        <w:sz w:val="16"/>
        <w:szCs w:val="16"/>
        <w:lang w:eastAsia="cs-CZ"/>
      </w:rPr>
      <w:tab/>
      <w:t>IČO: 31 338 976</w:t>
    </w:r>
    <w:r>
      <w:rPr>
        <w:color w:val="595959" w:themeColor="text1" w:themeTint="A6"/>
        <w:sz w:val="16"/>
        <w:szCs w:val="16"/>
        <w:lang w:eastAsia="cs-CZ"/>
      </w:rPr>
      <w:tab/>
    </w:r>
    <w:r>
      <w:rPr>
        <w:color w:val="595959" w:themeColor="text1" w:themeTint="A6"/>
        <w:sz w:val="16"/>
        <w:szCs w:val="16"/>
        <w:lang w:eastAsia="cs-CZ"/>
      </w:rPr>
      <w:tab/>
      <w:t>Bankové spojenie</w:t>
    </w:r>
  </w:p>
  <w:p w:rsidR="002D2DE2" w:rsidRDefault="002D2DE2" w:rsidP="002D2DE2">
    <w:pPr>
      <w:tabs>
        <w:tab w:val="left" w:pos="3686"/>
        <w:tab w:val="left" w:pos="4395"/>
        <w:tab w:val="left" w:pos="4678"/>
        <w:tab w:val="left" w:pos="6237"/>
        <w:tab w:val="left" w:pos="6521"/>
        <w:tab w:val="right" w:pos="9498"/>
      </w:tabs>
      <w:rPr>
        <w:color w:val="595959" w:themeColor="text1" w:themeTint="A6"/>
        <w:sz w:val="16"/>
        <w:szCs w:val="16"/>
        <w:lang w:eastAsia="cs-CZ"/>
      </w:rPr>
    </w:pPr>
    <w:r>
      <w:rPr>
        <w:color w:val="595959" w:themeColor="text1" w:themeTint="A6"/>
        <w:sz w:val="16"/>
        <w:szCs w:val="16"/>
        <w:lang w:eastAsia="cs-CZ"/>
      </w:rPr>
      <w:t>ul. 29. Augusta 1/A, 814 80 Bratislava I</w:t>
    </w:r>
    <w:r>
      <w:rPr>
        <w:color w:val="595959" w:themeColor="text1" w:themeTint="A6"/>
        <w:sz w:val="16"/>
        <w:szCs w:val="16"/>
        <w:lang w:eastAsia="cs-CZ"/>
      </w:rPr>
      <w:tab/>
    </w:r>
    <w:r>
      <w:rPr>
        <w:color w:val="595959" w:themeColor="text1" w:themeTint="A6"/>
        <w:sz w:val="16"/>
        <w:szCs w:val="16"/>
        <w:lang w:eastAsia="cs-CZ"/>
      </w:rPr>
      <w:tab/>
      <w:t>DIČ: 2020312833</w:t>
    </w:r>
    <w:r>
      <w:rPr>
        <w:color w:val="595959" w:themeColor="text1" w:themeTint="A6"/>
        <w:sz w:val="16"/>
        <w:szCs w:val="16"/>
        <w:lang w:eastAsia="cs-CZ"/>
      </w:rPr>
      <w:tab/>
    </w:r>
    <w:r>
      <w:rPr>
        <w:color w:val="595959" w:themeColor="text1" w:themeTint="A6"/>
        <w:sz w:val="16"/>
        <w:szCs w:val="16"/>
        <w:lang w:eastAsia="cs-CZ"/>
      </w:rPr>
      <w:tab/>
      <w:t>Slovenská sporiteľňa, a.s.</w:t>
    </w:r>
  </w:p>
  <w:p w:rsidR="002D2DE2" w:rsidRDefault="002D2DE2" w:rsidP="002D2DE2">
    <w:pPr>
      <w:tabs>
        <w:tab w:val="left" w:pos="3686"/>
        <w:tab w:val="left" w:pos="4395"/>
        <w:tab w:val="left" w:pos="4678"/>
        <w:tab w:val="left" w:pos="6521"/>
        <w:tab w:val="right" w:pos="9498"/>
      </w:tabs>
      <w:rPr>
        <w:color w:val="595959" w:themeColor="text1" w:themeTint="A6"/>
        <w:sz w:val="16"/>
        <w:szCs w:val="16"/>
        <w:lang w:eastAsia="cs-CZ"/>
      </w:rPr>
    </w:pPr>
    <w:r>
      <w:rPr>
        <w:color w:val="595959" w:themeColor="text1" w:themeTint="A6"/>
        <w:sz w:val="16"/>
        <w:szCs w:val="16"/>
        <w:lang w:eastAsia="cs-CZ"/>
      </w:rPr>
      <w:t>zapísaný v Obchodnom registri Okresného súdu Bratislava I</w:t>
    </w:r>
    <w:r>
      <w:rPr>
        <w:color w:val="595959" w:themeColor="text1" w:themeTint="A6"/>
        <w:sz w:val="16"/>
        <w:szCs w:val="16"/>
        <w:lang w:eastAsia="cs-CZ"/>
      </w:rPr>
      <w:tab/>
    </w:r>
    <w:r w:rsidRPr="00FB7470">
      <w:rPr>
        <w:color w:val="595959" w:themeColor="text1" w:themeTint="A6"/>
        <w:sz w:val="16"/>
        <w:szCs w:val="16"/>
        <w:lang w:eastAsia="cs-CZ"/>
      </w:rPr>
      <w:t>IČ DPH: SK2020312833</w:t>
    </w:r>
    <w:r>
      <w:rPr>
        <w:color w:val="595959" w:themeColor="text1" w:themeTint="A6"/>
        <w:sz w:val="16"/>
        <w:szCs w:val="16"/>
        <w:lang w:eastAsia="cs-CZ"/>
      </w:rPr>
      <w:tab/>
    </w:r>
    <w:r w:rsidRPr="00730027">
      <w:rPr>
        <w:color w:val="595959" w:themeColor="text1" w:themeTint="A6"/>
        <w:sz w:val="16"/>
        <w:szCs w:val="16"/>
        <w:lang w:eastAsia="cs-CZ"/>
      </w:rPr>
      <w:t>IBAN: SK26 0900 0000 0051 5999 9701</w:t>
    </w:r>
  </w:p>
  <w:p w:rsidR="002D2DE2" w:rsidRDefault="002D2DE2" w:rsidP="002D2DE2">
    <w:pPr>
      <w:tabs>
        <w:tab w:val="left" w:pos="3686"/>
        <w:tab w:val="left" w:pos="4395"/>
        <w:tab w:val="left" w:pos="6521"/>
        <w:tab w:val="right" w:pos="9498"/>
      </w:tabs>
      <w:rPr>
        <w:color w:val="595959" w:themeColor="text1" w:themeTint="A6"/>
        <w:sz w:val="16"/>
        <w:szCs w:val="16"/>
        <w:lang w:eastAsia="cs-CZ"/>
      </w:rPr>
    </w:pPr>
    <w:r>
      <w:rPr>
        <w:color w:val="595959" w:themeColor="text1" w:themeTint="A6"/>
        <w:sz w:val="16"/>
        <w:szCs w:val="16"/>
        <w:lang w:eastAsia="cs-CZ"/>
      </w:rPr>
      <w:t>oddiel: Sa, vložka č. 493/B</w:t>
    </w:r>
    <w:r>
      <w:rPr>
        <w:color w:val="595959" w:themeColor="text1" w:themeTint="A6"/>
        <w:sz w:val="16"/>
        <w:szCs w:val="16"/>
        <w:lang w:eastAsia="cs-CZ"/>
      </w:rPr>
      <w:tab/>
    </w:r>
    <w:r>
      <w:rPr>
        <w:color w:val="595959" w:themeColor="text1" w:themeTint="A6"/>
        <w:sz w:val="16"/>
        <w:szCs w:val="16"/>
        <w:lang w:eastAsia="cs-CZ"/>
      </w:rPr>
      <w:tab/>
    </w:r>
    <w:hyperlink r:id="rId1" w:history="1">
      <w:r w:rsidRPr="00FB7470">
        <w:rPr>
          <w:color w:val="595959" w:themeColor="text1" w:themeTint="A6"/>
          <w:sz w:val="16"/>
          <w:szCs w:val="16"/>
          <w:u w:val="single"/>
          <w:lang w:eastAsia="cs-CZ"/>
        </w:rPr>
        <w:t>www.cdcp.sk</w:t>
      </w:r>
    </w:hyperlink>
    <w:r>
      <w:rPr>
        <w:color w:val="595959" w:themeColor="text1" w:themeTint="A6"/>
        <w:sz w:val="16"/>
        <w:szCs w:val="16"/>
        <w:u w:val="single"/>
        <w:lang w:eastAsia="cs-CZ"/>
      </w:rPr>
      <w:t xml:space="preserve"> </w:t>
    </w:r>
    <w:r w:rsidRPr="00BA1288">
      <w:rPr>
        <w:color w:val="595959" w:themeColor="text1" w:themeTint="A6"/>
        <w:sz w:val="16"/>
        <w:szCs w:val="16"/>
        <w:lang w:eastAsia="cs-CZ"/>
      </w:rPr>
      <w:tab/>
    </w:r>
    <w:r w:rsidRPr="00FB7470">
      <w:rPr>
        <w:color w:val="595959" w:themeColor="text1" w:themeTint="A6"/>
        <w:sz w:val="16"/>
        <w:szCs w:val="16"/>
        <w:lang w:eastAsia="cs-CZ"/>
      </w:rPr>
      <w:t xml:space="preserve">BIC: </w:t>
    </w:r>
    <w:r w:rsidRPr="00730027">
      <w:rPr>
        <w:color w:val="595959" w:themeColor="text1" w:themeTint="A6"/>
        <w:sz w:val="16"/>
        <w:szCs w:val="16"/>
        <w:lang w:eastAsia="cs-CZ"/>
      </w:rPr>
      <w:t>GIBASKBX</w:t>
    </w:r>
  </w:p>
  <w:p w:rsidR="002D2DE2" w:rsidRPr="009B2834" w:rsidRDefault="002D2DE2" w:rsidP="002D2DE2">
    <w:pPr>
      <w:tabs>
        <w:tab w:val="left" w:pos="4395"/>
        <w:tab w:val="right" w:pos="9072"/>
      </w:tabs>
      <w:rPr>
        <w:color w:val="595959" w:themeColor="text1" w:themeTint="A6"/>
        <w:sz w:val="16"/>
        <w:szCs w:val="16"/>
        <w:lang w:eastAsia="cs-CZ"/>
      </w:rPr>
    </w:pPr>
    <w:r>
      <w:rPr>
        <w:color w:val="595959" w:themeColor="text1" w:themeTint="A6"/>
        <w:sz w:val="16"/>
        <w:szCs w:val="16"/>
        <w:lang w:eastAsia="cs-CZ"/>
      </w:rPr>
      <w:t xml:space="preserve">Telefón: 00421/2/59395110 </w:t>
    </w:r>
    <w:r>
      <w:rPr>
        <w:color w:val="595959" w:themeColor="text1" w:themeTint="A6"/>
        <w:sz w:val="16"/>
        <w:szCs w:val="16"/>
        <w:lang w:eastAsia="cs-CZ"/>
      </w:rPr>
      <w:tab/>
      <w:t>Fax: 00421/2</w:t>
    </w:r>
    <w:r w:rsidRPr="00FB7470">
      <w:rPr>
        <w:color w:val="595959" w:themeColor="text1" w:themeTint="A6"/>
        <w:sz w:val="16"/>
        <w:szCs w:val="16"/>
        <w:lang w:eastAsia="cs-CZ"/>
      </w:rPr>
      <w:t>/ 5296 8755</w:t>
    </w:r>
  </w:p>
  <w:p w:rsidR="00556653" w:rsidRDefault="0055665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62" w:rsidRDefault="00807062" w:rsidP="00DC024F">
      <w:r>
        <w:separator/>
      </w:r>
    </w:p>
  </w:footnote>
  <w:footnote w:type="continuationSeparator" w:id="0">
    <w:p w:rsidR="00807062" w:rsidRDefault="00807062" w:rsidP="00DC0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4F" w:rsidRPr="00DC024F" w:rsidRDefault="00DC024F" w:rsidP="00DC024F">
    <w:pPr>
      <w:jc w:val="right"/>
      <w:rPr>
        <w:rFonts w:ascii="Arial Black" w:hAnsi="Arial Black" w:cs="Times New Roman"/>
        <w:color w:val="000000" w:themeColor="text1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71" w:rsidRDefault="00967E71" w:rsidP="00967E71">
    <w:pPr>
      <w:pStyle w:val="Hlavika"/>
      <w:jc w:val="center"/>
    </w:pPr>
  </w:p>
  <w:p w:rsidR="00967E71" w:rsidRDefault="00967E71" w:rsidP="00847281">
    <w:pPr>
      <w:pStyle w:val="Hlavik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ABB"/>
    <w:multiLevelType w:val="hybridMultilevel"/>
    <w:tmpl w:val="A2FC2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B6B"/>
    <w:multiLevelType w:val="hybridMultilevel"/>
    <w:tmpl w:val="386CDD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25D5"/>
    <w:multiLevelType w:val="hybridMultilevel"/>
    <w:tmpl w:val="461AAFAA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481D62"/>
    <w:multiLevelType w:val="hybridMultilevel"/>
    <w:tmpl w:val="9F82BAB2"/>
    <w:lvl w:ilvl="0" w:tplc="2AF8CA08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4E7CBC"/>
    <w:multiLevelType w:val="hybridMultilevel"/>
    <w:tmpl w:val="21008562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AA1908"/>
    <w:multiLevelType w:val="hybridMultilevel"/>
    <w:tmpl w:val="DD22DBBE"/>
    <w:lvl w:ilvl="0" w:tplc="BD7492F8">
      <w:start w:val="1"/>
      <w:numFmt w:val="decimal"/>
      <w:lvlText w:val="14.%1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243E41"/>
    <w:multiLevelType w:val="hybridMultilevel"/>
    <w:tmpl w:val="0E3693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A7D19"/>
    <w:multiLevelType w:val="hybridMultilevel"/>
    <w:tmpl w:val="DDF4544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723F8D"/>
    <w:multiLevelType w:val="hybridMultilevel"/>
    <w:tmpl w:val="821E2D4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601801"/>
    <w:multiLevelType w:val="hybridMultilevel"/>
    <w:tmpl w:val="A030D166"/>
    <w:lvl w:ilvl="0" w:tplc="DB1A1C76">
      <w:start w:val="1"/>
      <w:numFmt w:val="decimal"/>
      <w:lvlText w:val="9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9156A7"/>
    <w:multiLevelType w:val="hybridMultilevel"/>
    <w:tmpl w:val="7C1CE408"/>
    <w:lvl w:ilvl="0" w:tplc="A5762F8A">
      <w:start w:val="1"/>
      <w:numFmt w:val="decimal"/>
      <w:lvlText w:val="13.%1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56B10"/>
    <w:multiLevelType w:val="hybridMultilevel"/>
    <w:tmpl w:val="06F8A0B2"/>
    <w:lvl w:ilvl="0" w:tplc="CD40B9C4">
      <w:start w:val="1"/>
      <w:numFmt w:val="decimal"/>
      <w:lvlText w:val="10.%1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E15DAB"/>
    <w:multiLevelType w:val="hybridMultilevel"/>
    <w:tmpl w:val="67F45826"/>
    <w:lvl w:ilvl="0" w:tplc="D054D20A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14630B"/>
    <w:multiLevelType w:val="hybridMultilevel"/>
    <w:tmpl w:val="DCFC6844"/>
    <w:lvl w:ilvl="0" w:tplc="6958C38A">
      <w:start w:val="1"/>
      <w:numFmt w:val="decimal"/>
      <w:lvlText w:val="11.%1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D2E5D"/>
    <w:multiLevelType w:val="hybridMultilevel"/>
    <w:tmpl w:val="E6BC7BBA"/>
    <w:lvl w:ilvl="0" w:tplc="2EF832EC">
      <w:start w:val="1"/>
      <w:numFmt w:val="decimal"/>
      <w:lvlText w:val="6.%1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BC31F9"/>
    <w:multiLevelType w:val="hybridMultilevel"/>
    <w:tmpl w:val="C7325E18"/>
    <w:lvl w:ilvl="0" w:tplc="22E2A6EA">
      <w:start w:val="1"/>
      <w:numFmt w:val="decimal"/>
      <w:lvlText w:val="7.%1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00020A"/>
    <w:multiLevelType w:val="hybridMultilevel"/>
    <w:tmpl w:val="278C95BA"/>
    <w:lvl w:ilvl="0" w:tplc="ACF8570C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1874D7"/>
    <w:multiLevelType w:val="hybridMultilevel"/>
    <w:tmpl w:val="7B68C1D8"/>
    <w:lvl w:ilvl="0" w:tplc="9D3C771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8700C2"/>
    <w:multiLevelType w:val="hybridMultilevel"/>
    <w:tmpl w:val="965E1276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AB2405"/>
    <w:multiLevelType w:val="hybridMultilevel"/>
    <w:tmpl w:val="186AF304"/>
    <w:lvl w:ilvl="0" w:tplc="461C2F16">
      <w:start w:val="1"/>
      <w:numFmt w:val="decimal"/>
      <w:lvlText w:val="12.%1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0A5792"/>
    <w:multiLevelType w:val="hybridMultilevel"/>
    <w:tmpl w:val="6C22D0C6"/>
    <w:lvl w:ilvl="0" w:tplc="FD24E7E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67D2804"/>
    <w:multiLevelType w:val="hybridMultilevel"/>
    <w:tmpl w:val="1D98A294"/>
    <w:lvl w:ilvl="0" w:tplc="2AF8CA08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377F9F"/>
    <w:multiLevelType w:val="hybridMultilevel"/>
    <w:tmpl w:val="943E8CB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DEE0424"/>
    <w:multiLevelType w:val="hybridMultilevel"/>
    <w:tmpl w:val="FBD47C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95847"/>
    <w:multiLevelType w:val="hybridMultilevel"/>
    <w:tmpl w:val="BB482E72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283810"/>
    <w:multiLevelType w:val="hybridMultilevel"/>
    <w:tmpl w:val="FBD47C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F1695"/>
    <w:multiLevelType w:val="hybridMultilevel"/>
    <w:tmpl w:val="56661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46CF9"/>
    <w:multiLevelType w:val="hybridMultilevel"/>
    <w:tmpl w:val="2788D5D4"/>
    <w:lvl w:ilvl="0" w:tplc="E996D4CC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DE1699"/>
    <w:multiLevelType w:val="hybridMultilevel"/>
    <w:tmpl w:val="386CDD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92C91"/>
    <w:multiLevelType w:val="hybridMultilevel"/>
    <w:tmpl w:val="C04EFB42"/>
    <w:lvl w:ilvl="0" w:tplc="88A0E4F4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7A3366"/>
    <w:multiLevelType w:val="hybridMultilevel"/>
    <w:tmpl w:val="06148B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A7564"/>
    <w:multiLevelType w:val="hybridMultilevel"/>
    <w:tmpl w:val="BBDA26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C80BB0"/>
    <w:multiLevelType w:val="hybridMultilevel"/>
    <w:tmpl w:val="21C0064E"/>
    <w:lvl w:ilvl="0" w:tplc="89DE71B4">
      <w:start w:val="1"/>
      <w:numFmt w:val="decimal"/>
      <w:lvlText w:val="3.%1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FA65E4"/>
    <w:multiLevelType w:val="hybridMultilevel"/>
    <w:tmpl w:val="58F64F9C"/>
    <w:lvl w:ilvl="0" w:tplc="CD40B9C4">
      <w:start w:val="1"/>
      <w:numFmt w:val="decimal"/>
      <w:lvlText w:val="10.%1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A6401"/>
    <w:multiLevelType w:val="hybridMultilevel"/>
    <w:tmpl w:val="4AC2448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B9309A"/>
    <w:multiLevelType w:val="hybridMultilevel"/>
    <w:tmpl w:val="DE8E74E8"/>
    <w:lvl w:ilvl="0" w:tplc="76DE962A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28640F4"/>
    <w:multiLevelType w:val="hybridMultilevel"/>
    <w:tmpl w:val="20888062"/>
    <w:lvl w:ilvl="0" w:tplc="DB1A1C76">
      <w:start w:val="1"/>
      <w:numFmt w:val="decimal"/>
      <w:lvlText w:val="9.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883ED5"/>
    <w:multiLevelType w:val="hybridMultilevel"/>
    <w:tmpl w:val="63507362"/>
    <w:lvl w:ilvl="0" w:tplc="CD40B9C4">
      <w:start w:val="1"/>
      <w:numFmt w:val="decimal"/>
      <w:lvlText w:val="10.%1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826A83"/>
    <w:multiLevelType w:val="hybridMultilevel"/>
    <w:tmpl w:val="B13E17A2"/>
    <w:lvl w:ilvl="0" w:tplc="E1287074">
      <w:start w:val="1"/>
      <w:numFmt w:val="decimal"/>
      <w:lvlText w:val="8.%1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3271E3"/>
    <w:multiLevelType w:val="hybridMultilevel"/>
    <w:tmpl w:val="7C6CD418"/>
    <w:lvl w:ilvl="0" w:tplc="FA0678EC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6284"/>
    <w:multiLevelType w:val="hybridMultilevel"/>
    <w:tmpl w:val="56661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25214"/>
    <w:multiLevelType w:val="hybridMultilevel"/>
    <w:tmpl w:val="3F922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6"/>
  </w:num>
  <w:num w:numId="4">
    <w:abstractNumId w:val="24"/>
  </w:num>
  <w:num w:numId="5">
    <w:abstractNumId w:val="37"/>
  </w:num>
  <w:num w:numId="6">
    <w:abstractNumId w:val="32"/>
  </w:num>
  <w:num w:numId="7">
    <w:abstractNumId w:val="2"/>
  </w:num>
  <w:num w:numId="8">
    <w:abstractNumId w:val="20"/>
  </w:num>
  <w:num w:numId="9">
    <w:abstractNumId w:val="13"/>
  </w:num>
  <w:num w:numId="10">
    <w:abstractNumId w:val="19"/>
  </w:num>
  <w:num w:numId="11">
    <w:abstractNumId w:val="10"/>
  </w:num>
  <w:num w:numId="12">
    <w:abstractNumId w:val="4"/>
  </w:num>
  <w:num w:numId="13">
    <w:abstractNumId w:val="34"/>
  </w:num>
  <w:num w:numId="14">
    <w:abstractNumId w:val="7"/>
  </w:num>
  <w:num w:numId="15">
    <w:abstractNumId w:val="22"/>
  </w:num>
  <w:num w:numId="16">
    <w:abstractNumId w:val="5"/>
  </w:num>
  <w:num w:numId="17">
    <w:abstractNumId w:val="15"/>
  </w:num>
  <w:num w:numId="18">
    <w:abstractNumId w:val="25"/>
  </w:num>
  <w:num w:numId="19">
    <w:abstractNumId w:val="21"/>
  </w:num>
  <w:num w:numId="20">
    <w:abstractNumId w:val="14"/>
  </w:num>
  <w:num w:numId="21">
    <w:abstractNumId w:val="9"/>
  </w:num>
  <w:num w:numId="22">
    <w:abstractNumId w:val="40"/>
  </w:num>
  <w:num w:numId="23">
    <w:abstractNumId w:val="8"/>
  </w:num>
  <w:num w:numId="24">
    <w:abstractNumId w:val="36"/>
  </w:num>
  <w:num w:numId="25">
    <w:abstractNumId w:val="23"/>
  </w:num>
  <w:num w:numId="26">
    <w:abstractNumId w:val="26"/>
  </w:num>
  <w:num w:numId="27">
    <w:abstractNumId w:val="29"/>
  </w:num>
  <w:num w:numId="28">
    <w:abstractNumId w:val="6"/>
  </w:num>
  <w:num w:numId="29">
    <w:abstractNumId w:val="18"/>
  </w:num>
  <w:num w:numId="30">
    <w:abstractNumId w:val="0"/>
  </w:num>
  <w:num w:numId="31">
    <w:abstractNumId w:val="12"/>
  </w:num>
  <w:num w:numId="32">
    <w:abstractNumId w:val="31"/>
  </w:num>
  <w:num w:numId="33">
    <w:abstractNumId w:val="38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8"/>
  </w:num>
  <w:num w:numId="37">
    <w:abstractNumId w:val="41"/>
  </w:num>
  <w:num w:numId="38">
    <w:abstractNumId w:val="11"/>
  </w:num>
  <w:num w:numId="39">
    <w:abstractNumId w:val="33"/>
  </w:num>
  <w:num w:numId="40">
    <w:abstractNumId w:val="35"/>
  </w:num>
  <w:num w:numId="41">
    <w:abstractNumId w:val="17"/>
  </w:num>
  <w:num w:numId="42">
    <w:abstractNumId w:val="39"/>
  </w:num>
  <w:num w:numId="43">
    <w:abstractNumId w:val="1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xqg8GpXcjQme+9O9U6Ej5/at/U=" w:salt="REi6X5w5qYOFjFRYqfNtO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107D"/>
    <w:rsid w:val="00004851"/>
    <w:rsid w:val="00006276"/>
    <w:rsid w:val="00007E76"/>
    <w:rsid w:val="000128D4"/>
    <w:rsid w:val="000143E9"/>
    <w:rsid w:val="00020A96"/>
    <w:rsid w:val="00022B4E"/>
    <w:rsid w:val="00025A92"/>
    <w:rsid w:val="00041C4E"/>
    <w:rsid w:val="00052735"/>
    <w:rsid w:val="0007107D"/>
    <w:rsid w:val="000711C6"/>
    <w:rsid w:val="00072913"/>
    <w:rsid w:val="00073286"/>
    <w:rsid w:val="00073EA2"/>
    <w:rsid w:val="000912E3"/>
    <w:rsid w:val="000A5D4D"/>
    <w:rsid w:val="000A5E3A"/>
    <w:rsid w:val="000B3BC3"/>
    <w:rsid w:val="000C0707"/>
    <w:rsid w:val="000C529A"/>
    <w:rsid w:val="000C5B5E"/>
    <w:rsid w:val="000C6AF4"/>
    <w:rsid w:val="000D12F9"/>
    <w:rsid w:val="000D3047"/>
    <w:rsid w:val="000E04C8"/>
    <w:rsid w:val="000E1030"/>
    <w:rsid w:val="000E2468"/>
    <w:rsid w:val="000E4D6A"/>
    <w:rsid w:val="000F230C"/>
    <w:rsid w:val="000F2925"/>
    <w:rsid w:val="000F2A1E"/>
    <w:rsid w:val="000F3633"/>
    <w:rsid w:val="000F4FCF"/>
    <w:rsid w:val="000F6AD9"/>
    <w:rsid w:val="0010217F"/>
    <w:rsid w:val="001066E3"/>
    <w:rsid w:val="00111BC0"/>
    <w:rsid w:val="00111E68"/>
    <w:rsid w:val="00112C46"/>
    <w:rsid w:val="00115FFC"/>
    <w:rsid w:val="00116BA4"/>
    <w:rsid w:val="0011790F"/>
    <w:rsid w:val="00121DA0"/>
    <w:rsid w:val="00122314"/>
    <w:rsid w:val="001354E8"/>
    <w:rsid w:val="001372F9"/>
    <w:rsid w:val="001403DD"/>
    <w:rsid w:val="00146034"/>
    <w:rsid w:val="001513B4"/>
    <w:rsid w:val="00152D97"/>
    <w:rsid w:val="001536D6"/>
    <w:rsid w:val="00154A9D"/>
    <w:rsid w:val="001622DB"/>
    <w:rsid w:val="0016293A"/>
    <w:rsid w:val="00165A95"/>
    <w:rsid w:val="00167945"/>
    <w:rsid w:val="001711C3"/>
    <w:rsid w:val="00177D90"/>
    <w:rsid w:val="00180A6A"/>
    <w:rsid w:val="001813C9"/>
    <w:rsid w:val="001813E8"/>
    <w:rsid w:val="001818F9"/>
    <w:rsid w:val="00182621"/>
    <w:rsid w:val="001829BD"/>
    <w:rsid w:val="00185B1F"/>
    <w:rsid w:val="0018759E"/>
    <w:rsid w:val="00190749"/>
    <w:rsid w:val="00193273"/>
    <w:rsid w:val="00194CCB"/>
    <w:rsid w:val="0019596E"/>
    <w:rsid w:val="001A057E"/>
    <w:rsid w:val="001A329C"/>
    <w:rsid w:val="001A35B4"/>
    <w:rsid w:val="001A49EE"/>
    <w:rsid w:val="001A5325"/>
    <w:rsid w:val="001A676D"/>
    <w:rsid w:val="001C345E"/>
    <w:rsid w:val="001C3B2C"/>
    <w:rsid w:val="001C6BBF"/>
    <w:rsid w:val="001C7D3A"/>
    <w:rsid w:val="001D1D23"/>
    <w:rsid w:val="001D5516"/>
    <w:rsid w:val="001E03B6"/>
    <w:rsid w:val="001E2C43"/>
    <w:rsid w:val="001E31AB"/>
    <w:rsid w:val="001E32EC"/>
    <w:rsid w:val="001E340B"/>
    <w:rsid w:val="001E3921"/>
    <w:rsid w:val="001E451D"/>
    <w:rsid w:val="001E5A1F"/>
    <w:rsid w:val="001E69C0"/>
    <w:rsid w:val="001F2610"/>
    <w:rsid w:val="001F76AE"/>
    <w:rsid w:val="00206C42"/>
    <w:rsid w:val="002102FD"/>
    <w:rsid w:val="00216D07"/>
    <w:rsid w:val="00222425"/>
    <w:rsid w:val="002234C6"/>
    <w:rsid w:val="00225B3E"/>
    <w:rsid w:val="002330A1"/>
    <w:rsid w:val="00235D7E"/>
    <w:rsid w:val="0024418F"/>
    <w:rsid w:val="0024770B"/>
    <w:rsid w:val="00253F5D"/>
    <w:rsid w:val="00257E29"/>
    <w:rsid w:val="00266C7E"/>
    <w:rsid w:val="00272746"/>
    <w:rsid w:val="0027549F"/>
    <w:rsid w:val="00275985"/>
    <w:rsid w:val="00276093"/>
    <w:rsid w:val="002847B8"/>
    <w:rsid w:val="00284BF1"/>
    <w:rsid w:val="00285032"/>
    <w:rsid w:val="002A074D"/>
    <w:rsid w:val="002A6DEE"/>
    <w:rsid w:val="002A7CD5"/>
    <w:rsid w:val="002B592D"/>
    <w:rsid w:val="002B5F4C"/>
    <w:rsid w:val="002B6DB3"/>
    <w:rsid w:val="002C5901"/>
    <w:rsid w:val="002C6164"/>
    <w:rsid w:val="002D2DE2"/>
    <w:rsid w:val="002D46ED"/>
    <w:rsid w:val="002E138C"/>
    <w:rsid w:val="002E1DD8"/>
    <w:rsid w:val="002E1F4B"/>
    <w:rsid w:val="002E24BE"/>
    <w:rsid w:val="002E28C9"/>
    <w:rsid w:val="002E32B6"/>
    <w:rsid w:val="002E6A8C"/>
    <w:rsid w:val="002F406D"/>
    <w:rsid w:val="002F4AA6"/>
    <w:rsid w:val="002F5A2C"/>
    <w:rsid w:val="002F76E7"/>
    <w:rsid w:val="003010ED"/>
    <w:rsid w:val="003101ED"/>
    <w:rsid w:val="00310511"/>
    <w:rsid w:val="00311F6D"/>
    <w:rsid w:val="00314BB0"/>
    <w:rsid w:val="0032059E"/>
    <w:rsid w:val="003210F3"/>
    <w:rsid w:val="00322655"/>
    <w:rsid w:val="00323A17"/>
    <w:rsid w:val="003352D5"/>
    <w:rsid w:val="00337674"/>
    <w:rsid w:val="003429A7"/>
    <w:rsid w:val="00344994"/>
    <w:rsid w:val="00354AAC"/>
    <w:rsid w:val="0036241A"/>
    <w:rsid w:val="00362ED7"/>
    <w:rsid w:val="00365B19"/>
    <w:rsid w:val="00370DF2"/>
    <w:rsid w:val="00375433"/>
    <w:rsid w:val="003756E2"/>
    <w:rsid w:val="003812B7"/>
    <w:rsid w:val="00384C36"/>
    <w:rsid w:val="00387EAC"/>
    <w:rsid w:val="003A03E5"/>
    <w:rsid w:val="003A11DD"/>
    <w:rsid w:val="003A4F8F"/>
    <w:rsid w:val="003A51D3"/>
    <w:rsid w:val="003A52EF"/>
    <w:rsid w:val="003A57A1"/>
    <w:rsid w:val="003B358B"/>
    <w:rsid w:val="003B3CB7"/>
    <w:rsid w:val="003C6120"/>
    <w:rsid w:val="003D6161"/>
    <w:rsid w:val="003E6F5C"/>
    <w:rsid w:val="003F3516"/>
    <w:rsid w:val="00402E61"/>
    <w:rsid w:val="00410897"/>
    <w:rsid w:val="00423136"/>
    <w:rsid w:val="004307FA"/>
    <w:rsid w:val="004369EA"/>
    <w:rsid w:val="00442D64"/>
    <w:rsid w:val="00444F50"/>
    <w:rsid w:val="0044519A"/>
    <w:rsid w:val="004473DF"/>
    <w:rsid w:val="00450AD0"/>
    <w:rsid w:val="0045141B"/>
    <w:rsid w:val="00452D88"/>
    <w:rsid w:val="00453C1C"/>
    <w:rsid w:val="00454740"/>
    <w:rsid w:val="00454C6A"/>
    <w:rsid w:val="00454EC2"/>
    <w:rsid w:val="00457492"/>
    <w:rsid w:val="00465DBE"/>
    <w:rsid w:val="004665DE"/>
    <w:rsid w:val="00467483"/>
    <w:rsid w:val="00471BAC"/>
    <w:rsid w:val="00471BE0"/>
    <w:rsid w:val="00474B86"/>
    <w:rsid w:val="00475DC3"/>
    <w:rsid w:val="00490AB4"/>
    <w:rsid w:val="00490FE7"/>
    <w:rsid w:val="004916F4"/>
    <w:rsid w:val="0049182A"/>
    <w:rsid w:val="004919D3"/>
    <w:rsid w:val="00495AA6"/>
    <w:rsid w:val="00496FAF"/>
    <w:rsid w:val="004972DE"/>
    <w:rsid w:val="00497FA5"/>
    <w:rsid w:val="004A4B92"/>
    <w:rsid w:val="004B1838"/>
    <w:rsid w:val="004B3C0C"/>
    <w:rsid w:val="004B4C36"/>
    <w:rsid w:val="004B59E3"/>
    <w:rsid w:val="004C07A6"/>
    <w:rsid w:val="004C13E8"/>
    <w:rsid w:val="004C3B81"/>
    <w:rsid w:val="004C4E66"/>
    <w:rsid w:val="004C5080"/>
    <w:rsid w:val="004C6D2D"/>
    <w:rsid w:val="004C7CE2"/>
    <w:rsid w:val="004E05AE"/>
    <w:rsid w:val="004F0889"/>
    <w:rsid w:val="004F0918"/>
    <w:rsid w:val="004F0EFD"/>
    <w:rsid w:val="004F46D8"/>
    <w:rsid w:val="004F5BF7"/>
    <w:rsid w:val="004F5C07"/>
    <w:rsid w:val="004F7721"/>
    <w:rsid w:val="00502C28"/>
    <w:rsid w:val="00515E6E"/>
    <w:rsid w:val="0051647F"/>
    <w:rsid w:val="00521678"/>
    <w:rsid w:val="0052657B"/>
    <w:rsid w:val="00531A9C"/>
    <w:rsid w:val="00533A41"/>
    <w:rsid w:val="00533E76"/>
    <w:rsid w:val="005361CF"/>
    <w:rsid w:val="00542281"/>
    <w:rsid w:val="0054588B"/>
    <w:rsid w:val="00551B63"/>
    <w:rsid w:val="00553F5C"/>
    <w:rsid w:val="00556653"/>
    <w:rsid w:val="00562E83"/>
    <w:rsid w:val="00563647"/>
    <w:rsid w:val="00567F81"/>
    <w:rsid w:val="005834AD"/>
    <w:rsid w:val="00585C4A"/>
    <w:rsid w:val="005A2285"/>
    <w:rsid w:val="005A3CD2"/>
    <w:rsid w:val="005A4B75"/>
    <w:rsid w:val="005A6681"/>
    <w:rsid w:val="005B0934"/>
    <w:rsid w:val="005B0F52"/>
    <w:rsid w:val="005B4597"/>
    <w:rsid w:val="005B68B7"/>
    <w:rsid w:val="005C3099"/>
    <w:rsid w:val="005C3B97"/>
    <w:rsid w:val="005D694A"/>
    <w:rsid w:val="005D774B"/>
    <w:rsid w:val="005E18E4"/>
    <w:rsid w:val="005E1FFA"/>
    <w:rsid w:val="005E2207"/>
    <w:rsid w:val="005E6079"/>
    <w:rsid w:val="005F0D41"/>
    <w:rsid w:val="005F10C4"/>
    <w:rsid w:val="005F2251"/>
    <w:rsid w:val="005F23D3"/>
    <w:rsid w:val="005F2FDE"/>
    <w:rsid w:val="00602710"/>
    <w:rsid w:val="00604482"/>
    <w:rsid w:val="006069FA"/>
    <w:rsid w:val="006075E0"/>
    <w:rsid w:val="00610ED3"/>
    <w:rsid w:val="0061477C"/>
    <w:rsid w:val="006149BC"/>
    <w:rsid w:val="006153D5"/>
    <w:rsid w:val="00621168"/>
    <w:rsid w:val="00621F5B"/>
    <w:rsid w:val="006229BB"/>
    <w:rsid w:val="006235DB"/>
    <w:rsid w:val="006240C8"/>
    <w:rsid w:val="00626E0C"/>
    <w:rsid w:val="006315A3"/>
    <w:rsid w:val="00631B31"/>
    <w:rsid w:val="00632B52"/>
    <w:rsid w:val="006404F8"/>
    <w:rsid w:val="00641CF9"/>
    <w:rsid w:val="00644DF9"/>
    <w:rsid w:val="006509A8"/>
    <w:rsid w:val="00650BF3"/>
    <w:rsid w:val="00650EF7"/>
    <w:rsid w:val="006567C0"/>
    <w:rsid w:val="00656922"/>
    <w:rsid w:val="00656C56"/>
    <w:rsid w:val="0066049D"/>
    <w:rsid w:val="00664B64"/>
    <w:rsid w:val="00667985"/>
    <w:rsid w:val="00674D21"/>
    <w:rsid w:val="00674E85"/>
    <w:rsid w:val="00681A93"/>
    <w:rsid w:val="006860EC"/>
    <w:rsid w:val="00692ED3"/>
    <w:rsid w:val="0069735D"/>
    <w:rsid w:val="006975E6"/>
    <w:rsid w:val="006A033B"/>
    <w:rsid w:val="006A64C3"/>
    <w:rsid w:val="006A729F"/>
    <w:rsid w:val="006A7DF0"/>
    <w:rsid w:val="006B0A40"/>
    <w:rsid w:val="006C1194"/>
    <w:rsid w:val="006C64C2"/>
    <w:rsid w:val="006C74E7"/>
    <w:rsid w:val="006D0C51"/>
    <w:rsid w:val="006D12D9"/>
    <w:rsid w:val="006D37B1"/>
    <w:rsid w:val="006D3F98"/>
    <w:rsid w:val="006E020A"/>
    <w:rsid w:val="006E5F16"/>
    <w:rsid w:val="006F10AE"/>
    <w:rsid w:val="006F6821"/>
    <w:rsid w:val="00700A76"/>
    <w:rsid w:val="0070243F"/>
    <w:rsid w:val="007044B4"/>
    <w:rsid w:val="007047EF"/>
    <w:rsid w:val="00705A8A"/>
    <w:rsid w:val="0071374F"/>
    <w:rsid w:val="00722D68"/>
    <w:rsid w:val="0072563A"/>
    <w:rsid w:val="007273A3"/>
    <w:rsid w:val="00735793"/>
    <w:rsid w:val="0073584A"/>
    <w:rsid w:val="00735904"/>
    <w:rsid w:val="00741AF8"/>
    <w:rsid w:val="00745B2C"/>
    <w:rsid w:val="00747D87"/>
    <w:rsid w:val="007507D8"/>
    <w:rsid w:val="007529CD"/>
    <w:rsid w:val="0075411B"/>
    <w:rsid w:val="007552EF"/>
    <w:rsid w:val="00756758"/>
    <w:rsid w:val="00762F21"/>
    <w:rsid w:val="00767F5D"/>
    <w:rsid w:val="007720F0"/>
    <w:rsid w:val="00776FC6"/>
    <w:rsid w:val="00780F2B"/>
    <w:rsid w:val="00782152"/>
    <w:rsid w:val="00785E2E"/>
    <w:rsid w:val="00793838"/>
    <w:rsid w:val="0079510A"/>
    <w:rsid w:val="00795C43"/>
    <w:rsid w:val="00795D7E"/>
    <w:rsid w:val="007A040C"/>
    <w:rsid w:val="007A2587"/>
    <w:rsid w:val="007A2D25"/>
    <w:rsid w:val="007A64C2"/>
    <w:rsid w:val="007A7F08"/>
    <w:rsid w:val="007B330B"/>
    <w:rsid w:val="007B3811"/>
    <w:rsid w:val="007B6D23"/>
    <w:rsid w:val="007C2B7E"/>
    <w:rsid w:val="007C4D0A"/>
    <w:rsid w:val="007D091D"/>
    <w:rsid w:val="007D2BA8"/>
    <w:rsid w:val="007D3BC1"/>
    <w:rsid w:val="007D63F0"/>
    <w:rsid w:val="007F284F"/>
    <w:rsid w:val="007F606F"/>
    <w:rsid w:val="0080486E"/>
    <w:rsid w:val="00807062"/>
    <w:rsid w:val="00810F9E"/>
    <w:rsid w:val="00816971"/>
    <w:rsid w:val="00816D1A"/>
    <w:rsid w:val="00817572"/>
    <w:rsid w:val="00817F61"/>
    <w:rsid w:val="00820BA5"/>
    <w:rsid w:val="00821C50"/>
    <w:rsid w:val="0082541F"/>
    <w:rsid w:val="00826DC9"/>
    <w:rsid w:val="00827FF0"/>
    <w:rsid w:val="00844A62"/>
    <w:rsid w:val="00847281"/>
    <w:rsid w:val="00852DB9"/>
    <w:rsid w:val="008543B7"/>
    <w:rsid w:val="00857EF9"/>
    <w:rsid w:val="00861BFB"/>
    <w:rsid w:val="008636C4"/>
    <w:rsid w:val="00863F6F"/>
    <w:rsid w:val="00870327"/>
    <w:rsid w:val="00871251"/>
    <w:rsid w:val="00873E52"/>
    <w:rsid w:val="0088231C"/>
    <w:rsid w:val="008A28B9"/>
    <w:rsid w:val="008A59A2"/>
    <w:rsid w:val="008B0D89"/>
    <w:rsid w:val="008B5004"/>
    <w:rsid w:val="008C0DBA"/>
    <w:rsid w:val="008C5DA0"/>
    <w:rsid w:val="008C60AB"/>
    <w:rsid w:val="008D2449"/>
    <w:rsid w:val="008D5AB4"/>
    <w:rsid w:val="008E0862"/>
    <w:rsid w:val="008E2FAD"/>
    <w:rsid w:val="008E512A"/>
    <w:rsid w:val="008F0437"/>
    <w:rsid w:val="008F4784"/>
    <w:rsid w:val="00903F79"/>
    <w:rsid w:val="009051F1"/>
    <w:rsid w:val="00911E1C"/>
    <w:rsid w:val="009137B7"/>
    <w:rsid w:val="009227EC"/>
    <w:rsid w:val="00932A9A"/>
    <w:rsid w:val="00933F7D"/>
    <w:rsid w:val="0093533B"/>
    <w:rsid w:val="00967E71"/>
    <w:rsid w:val="009726E2"/>
    <w:rsid w:val="00977389"/>
    <w:rsid w:val="00983D7A"/>
    <w:rsid w:val="009865D2"/>
    <w:rsid w:val="009939E9"/>
    <w:rsid w:val="00994C5A"/>
    <w:rsid w:val="0099508F"/>
    <w:rsid w:val="009A308E"/>
    <w:rsid w:val="009A648F"/>
    <w:rsid w:val="009A6F0C"/>
    <w:rsid w:val="009A7AE6"/>
    <w:rsid w:val="009B1DC1"/>
    <w:rsid w:val="009B21B1"/>
    <w:rsid w:val="009B4A1A"/>
    <w:rsid w:val="009C03BC"/>
    <w:rsid w:val="009C14BD"/>
    <w:rsid w:val="009C3BEF"/>
    <w:rsid w:val="009C3D9A"/>
    <w:rsid w:val="009D06F4"/>
    <w:rsid w:val="009D224D"/>
    <w:rsid w:val="009D51B8"/>
    <w:rsid w:val="009D69D3"/>
    <w:rsid w:val="009D7070"/>
    <w:rsid w:val="009F387B"/>
    <w:rsid w:val="00A10E5E"/>
    <w:rsid w:val="00A15C2B"/>
    <w:rsid w:val="00A20296"/>
    <w:rsid w:val="00A21015"/>
    <w:rsid w:val="00A21084"/>
    <w:rsid w:val="00A25628"/>
    <w:rsid w:val="00A2717B"/>
    <w:rsid w:val="00A3206A"/>
    <w:rsid w:val="00A33E2B"/>
    <w:rsid w:val="00A36806"/>
    <w:rsid w:val="00A405B7"/>
    <w:rsid w:val="00A40C3D"/>
    <w:rsid w:val="00A475AD"/>
    <w:rsid w:val="00A50813"/>
    <w:rsid w:val="00A50F38"/>
    <w:rsid w:val="00A56473"/>
    <w:rsid w:val="00A571E9"/>
    <w:rsid w:val="00A5729F"/>
    <w:rsid w:val="00A57D68"/>
    <w:rsid w:val="00A57E18"/>
    <w:rsid w:val="00A60657"/>
    <w:rsid w:val="00A61E98"/>
    <w:rsid w:val="00A62278"/>
    <w:rsid w:val="00A63B3E"/>
    <w:rsid w:val="00A64C20"/>
    <w:rsid w:val="00A82F62"/>
    <w:rsid w:val="00A931DB"/>
    <w:rsid w:val="00A97B96"/>
    <w:rsid w:val="00A97E6F"/>
    <w:rsid w:val="00AA131E"/>
    <w:rsid w:val="00AB007A"/>
    <w:rsid w:val="00AB0E7B"/>
    <w:rsid w:val="00AB4F87"/>
    <w:rsid w:val="00AC0E39"/>
    <w:rsid w:val="00AC5C97"/>
    <w:rsid w:val="00AD002F"/>
    <w:rsid w:val="00AD0750"/>
    <w:rsid w:val="00AD6950"/>
    <w:rsid w:val="00AE0B49"/>
    <w:rsid w:val="00AE1F79"/>
    <w:rsid w:val="00AE3966"/>
    <w:rsid w:val="00AE4F02"/>
    <w:rsid w:val="00AF44F5"/>
    <w:rsid w:val="00AF490D"/>
    <w:rsid w:val="00B0002D"/>
    <w:rsid w:val="00B00B3B"/>
    <w:rsid w:val="00B1308C"/>
    <w:rsid w:val="00B15255"/>
    <w:rsid w:val="00B22FFA"/>
    <w:rsid w:val="00B24D59"/>
    <w:rsid w:val="00B255EC"/>
    <w:rsid w:val="00B27EFB"/>
    <w:rsid w:val="00B306B4"/>
    <w:rsid w:val="00B34E2B"/>
    <w:rsid w:val="00B3632E"/>
    <w:rsid w:val="00B37098"/>
    <w:rsid w:val="00B529AD"/>
    <w:rsid w:val="00B538D1"/>
    <w:rsid w:val="00B5624E"/>
    <w:rsid w:val="00B57FD6"/>
    <w:rsid w:val="00B65A90"/>
    <w:rsid w:val="00B70BDE"/>
    <w:rsid w:val="00B74593"/>
    <w:rsid w:val="00B8157B"/>
    <w:rsid w:val="00B82A06"/>
    <w:rsid w:val="00B94A7D"/>
    <w:rsid w:val="00B96D9C"/>
    <w:rsid w:val="00BA0521"/>
    <w:rsid w:val="00BA0EA8"/>
    <w:rsid w:val="00BA16B4"/>
    <w:rsid w:val="00BA41E6"/>
    <w:rsid w:val="00BA4EB9"/>
    <w:rsid w:val="00BA4FEA"/>
    <w:rsid w:val="00BA64AC"/>
    <w:rsid w:val="00BB67D1"/>
    <w:rsid w:val="00BB7C9D"/>
    <w:rsid w:val="00BC338F"/>
    <w:rsid w:val="00BC38B5"/>
    <w:rsid w:val="00BD45E1"/>
    <w:rsid w:val="00BE3213"/>
    <w:rsid w:val="00C0463A"/>
    <w:rsid w:val="00C16DBC"/>
    <w:rsid w:val="00C30E52"/>
    <w:rsid w:val="00C3222B"/>
    <w:rsid w:val="00C335D8"/>
    <w:rsid w:val="00C37DE8"/>
    <w:rsid w:val="00C40934"/>
    <w:rsid w:val="00C41498"/>
    <w:rsid w:val="00C41B33"/>
    <w:rsid w:val="00C441C5"/>
    <w:rsid w:val="00C44FF4"/>
    <w:rsid w:val="00C57DF7"/>
    <w:rsid w:val="00C60614"/>
    <w:rsid w:val="00C62913"/>
    <w:rsid w:val="00C651FB"/>
    <w:rsid w:val="00C662FE"/>
    <w:rsid w:val="00C8300E"/>
    <w:rsid w:val="00C834F7"/>
    <w:rsid w:val="00C8388D"/>
    <w:rsid w:val="00C8470C"/>
    <w:rsid w:val="00C91277"/>
    <w:rsid w:val="00CA2657"/>
    <w:rsid w:val="00CA7BCD"/>
    <w:rsid w:val="00CB617C"/>
    <w:rsid w:val="00CB6295"/>
    <w:rsid w:val="00CC00F7"/>
    <w:rsid w:val="00CE0D87"/>
    <w:rsid w:val="00CE0F4D"/>
    <w:rsid w:val="00CE1D02"/>
    <w:rsid w:val="00CE3A44"/>
    <w:rsid w:val="00CF30AA"/>
    <w:rsid w:val="00CF4D97"/>
    <w:rsid w:val="00CF4FDF"/>
    <w:rsid w:val="00CF6A83"/>
    <w:rsid w:val="00CF76E5"/>
    <w:rsid w:val="00CF7B5C"/>
    <w:rsid w:val="00D0550A"/>
    <w:rsid w:val="00D057A2"/>
    <w:rsid w:val="00D05911"/>
    <w:rsid w:val="00D20655"/>
    <w:rsid w:val="00D22DBA"/>
    <w:rsid w:val="00D22EAE"/>
    <w:rsid w:val="00D24984"/>
    <w:rsid w:val="00D24F3C"/>
    <w:rsid w:val="00D26247"/>
    <w:rsid w:val="00D26D52"/>
    <w:rsid w:val="00D272C3"/>
    <w:rsid w:val="00D30969"/>
    <w:rsid w:val="00D3406F"/>
    <w:rsid w:val="00D34C2F"/>
    <w:rsid w:val="00D355EE"/>
    <w:rsid w:val="00D35F34"/>
    <w:rsid w:val="00D4015F"/>
    <w:rsid w:val="00D458F6"/>
    <w:rsid w:val="00D52B8F"/>
    <w:rsid w:val="00D52DCF"/>
    <w:rsid w:val="00D54961"/>
    <w:rsid w:val="00D57B1A"/>
    <w:rsid w:val="00D6403F"/>
    <w:rsid w:val="00D67139"/>
    <w:rsid w:val="00D77C85"/>
    <w:rsid w:val="00D80567"/>
    <w:rsid w:val="00D868EA"/>
    <w:rsid w:val="00D86998"/>
    <w:rsid w:val="00D92F23"/>
    <w:rsid w:val="00D95255"/>
    <w:rsid w:val="00D95E32"/>
    <w:rsid w:val="00DA3FDD"/>
    <w:rsid w:val="00DA787C"/>
    <w:rsid w:val="00DB1120"/>
    <w:rsid w:val="00DB232A"/>
    <w:rsid w:val="00DB5851"/>
    <w:rsid w:val="00DB70D9"/>
    <w:rsid w:val="00DC024F"/>
    <w:rsid w:val="00DC5CD6"/>
    <w:rsid w:val="00DD1A60"/>
    <w:rsid w:val="00DD2EBC"/>
    <w:rsid w:val="00DD430C"/>
    <w:rsid w:val="00DE3F79"/>
    <w:rsid w:val="00DF00AB"/>
    <w:rsid w:val="00DF365D"/>
    <w:rsid w:val="00DF6E4F"/>
    <w:rsid w:val="00E063D4"/>
    <w:rsid w:val="00E06B18"/>
    <w:rsid w:val="00E101FC"/>
    <w:rsid w:val="00E138D0"/>
    <w:rsid w:val="00E138E8"/>
    <w:rsid w:val="00E21D34"/>
    <w:rsid w:val="00E21DD2"/>
    <w:rsid w:val="00E21E73"/>
    <w:rsid w:val="00E24925"/>
    <w:rsid w:val="00E31832"/>
    <w:rsid w:val="00E37307"/>
    <w:rsid w:val="00E413EB"/>
    <w:rsid w:val="00E50239"/>
    <w:rsid w:val="00E525A9"/>
    <w:rsid w:val="00E53D5F"/>
    <w:rsid w:val="00E54632"/>
    <w:rsid w:val="00E667A8"/>
    <w:rsid w:val="00E8069E"/>
    <w:rsid w:val="00E90A43"/>
    <w:rsid w:val="00E93D9F"/>
    <w:rsid w:val="00E97A7D"/>
    <w:rsid w:val="00EA6909"/>
    <w:rsid w:val="00EA7657"/>
    <w:rsid w:val="00EB0AD7"/>
    <w:rsid w:val="00EB6E1B"/>
    <w:rsid w:val="00EC3560"/>
    <w:rsid w:val="00EC3BB4"/>
    <w:rsid w:val="00ED0B57"/>
    <w:rsid w:val="00ED6591"/>
    <w:rsid w:val="00ED7547"/>
    <w:rsid w:val="00EE738B"/>
    <w:rsid w:val="00EF48DA"/>
    <w:rsid w:val="00EF7E09"/>
    <w:rsid w:val="00F00560"/>
    <w:rsid w:val="00F01D0B"/>
    <w:rsid w:val="00F0282C"/>
    <w:rsid w:val="00F0621E"/>
    <w:rsid w:val="00F123AD"/>
    <w:rsid w:val="00F12F92"/>
    <w:rsid w:val="00F14DA4"/>
    <w:rsid w:val="00F165F1"/>
    <w:rsid w:val="00F16D3E"/>
    <w:rsid w:val="00F2056E"/>
    <w:rsid w:val="00F21D44"/>
    <w:rsid w:val="00F3446D"/>
    <w:rsid w:val="00F46F20"/>
    <w:rsid w:val="00F67172"/>
    <w:rsid w:val="00F73C9F"/>
    <w:rsid w:val="00F75AE1"/>
    <w:rsid w:val="00F8238D"/>
    <w:rsid w:val="00F83479"/>
    <w:rsid w:val="00F9100B"/>
    <w:rsid w:val="00F91F41"/>
    <w:rsid w:val="00F942BF"/>
    <w:rsid w:val="00F94AC9"/>
    <w:rsid w:val="00FA156B"/>
    <w:rsid w:val="00FA17B0"/>
    <w:rsid w:val="00FA1B0E"/>
    <w:rsid w:val="00FB2038"/>
    <w:rsid w:val="00FB5924"/>
    <w:rsid w:val="00FB62DC"/>
    <w:rsid w:val="00FC3FED"/>
    <w:rsid w:val="00FC4280"/>
    <w:rsid w:val="00FD0009"/>
    <w:rsid w:val="00FD4F0F"/>
    <w:rsid w:val="00FD4FB8"/>
    <w:rsid w:val="00FD5984"/>
    <w:rsid w:val="00FD6B98"/>
    <w:rsid w:val="00FD7C6C"/>
    <w:rsid w:val="00FE32B4"/>
    <w:rsid w:val="00FE54AF"/>
    <w:rsid w:val="00FF3FF5"/>
    <w:rsid w:val="00FF4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694A"/>
  </w:style>
  <w:style w:type="paragraph" w:styleId="Nadpis1">
    <w:name w:val="heading 1"/>
    <w:basedOn w:val="Normlny"/>
    <w:next w:val="Normlny"/>
    <w:link w:val="Nadpis1Char"/>
    <w:uiPriority w:val="9"/>
    <w:qFormat/>
    <w:rsid w:val="001E340B"/>
    <w:pP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E340B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b/>
      <w:color w:val="4C7563" w:themeColor="accent1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D694A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D694A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D694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D694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D694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D694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D694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6B0A40"/>
    <w:pPr>
      <w:jc w:val="both"/>
    </w:pPr>
    <w:rPr>
      <w:rFonts w:ascii="Tahoma" w:eastAsia="Times New Roman" w:hAnsi="Tahoma" w:cs="Tahoma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6B0A40"/>
    <w:rPr>
      <w:rFonts w:ascii="Tahoma" w:eastAsia="Times New Roman" w:hAnsi="Tahoma" w:cs="Tahoma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D694A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42313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4231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365B19"/>
    <w:rPr>
      <w:color w:val="CCCC00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C02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024F"/>
  </w:style>
  <w:style w:type="paragraph" w:styleId="Pta">
    <w:name w:val="footer"/>
    <w:basedOn w:val="Normlny"/>
    <w:link w:val="PtaChar"/>
    <w:uiPriority w:val="99"/>
    <w:unhideWhenUsed/>
    <w:rsid w:val="00DC02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024F"/>
  </w:style>
  <w:style w:type="paragraph" w:styleId="Textbubliny">
    <w:name w:val="Balloon Text"/>
    <w:basedOn w:val="Normlny"/>
    <w:link w:val="TextbublinyChar"/>
    <w:uiPriority w:val="99"/>
    <w:semiHidden/>
    <w:unhideWhenUsed/>
    <w:rsid w:val="00DC02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024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1E340B"/>
    <w:rPr>
      <w:rFonts w:asciiTheme="majorHAnsi" w:eastAsiaTheme="majorEastAsia" w:hAnsiTheme="majorHAnsi" w:cstheme="majorBidi"/>
      <w:b/>
      <w:color w:val="4C7563" w:themeColor="accent1"/>
      <w:sz w:val="24"/>
      <w:szCs w:val="24"/>
    </w:rPr>
  </w:style>
  <w:style w:type="paragraph" w:styleId="Bezriadkovania">
    <w:name w:val="No Spacing"/>
    <w:basedOn w:val="Normlny"/>
    <w:link w:val="BezriadkovaniaChar"/>
    <w:uiPriority w:val="1"/>
    <w:qFormat/>
    <w:rsid w:val="005D694A"/>
    <w:pPr>
      <w:ind w:firstLine="0"/>
    </w:pPr>
  </w:style>
  <w:style w:type="character" w:customStyle="1" w:styleId="Nadpis1Char">
    <w:name w:val="Nadpis 1 Char"/>
    <w:basedOn w:val="Predvolenpsmoodseku"/>
    <w:link w:val="Nadpis1"/>
    <w:uiPriority w:val="9"/>
    <w:rsid w:val="001E340B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D694A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D694A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D694A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D694A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D694A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D694A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D694A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D694A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5D694A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5D694A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D694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5D694A"/>
    <w:rPr>
      <w:i/>
      <w:iCs/>
      <w:sz w:val="24"/>
      <w:szCs w:val="24"/>
    </w:rPr>
  </w:style>
  <w:style w:type="character" w:styleId="Siln">
    <w:name w:val="Strong"/>
    <w:basedOn w:val="Predvolenpsmoodseku"/>
    <w:uiPriority w:val="22"/>
    <w:qFormat/>
    <w:rsid w:val="005D694A"/>
    <w:rPr>
      <w:b/>
      <w:bCs/>
      <w:spacing w:val="0"/>
    </w:rPr>
  </w:style>
  <w:style w:type="character" w:styleId="Zvraznenie">
    <w:name w:val="Emphasis"/>
    <w:uiPriority w:val="20"/>
    <w:qFormat/>
    <w:rsid w:val="005D694A"/>
    <w:rPr>
      <w:b/>
      <w:bCs/>
      <w:i/>
      <w:iCs/>
      <w:color w:val="5A5A5A" w:themeColor="text1" w:themeTint="A5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694A"/>
  </w:style>
  <w:style w:type="paragraph" w:styleId="Citcia">
    <w:name w:val="Quote"/>
    <w:basedOn w:val="Normlny"/>
    <w:next w:val="Normlny"/>
    <w:link w:val="CitciaChar"/>
    <w:uiPriority w:val="29"/>
    <w:qFormat/>
    <w:rsid w:val="005D694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5D694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D694A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D694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aliases w:val="body"/>
    <w:uiPriority w:val="19"/>
    <w:qFormat/>
    <w:rsid w:val="002E6A8C"/>
    <w:rPr>
      <w:rFonts w:asciiTheme="majorHAnsi" w:hAnsiTheme="majorHAnsi"/>
      <w:b/>
      <w:i w:val="0"/>
      <w:iCs/>
      <w:color w:val="4C7563" w:themeColor="accent1"/>
      <w:sz w:val="24"/>
    </w:rPr>
  </w:style>
  <w:style w:type="character" w:styleId="Intenzvnezvraznenie">
    <w:name w:val="Intense Emphasis"/>
    <w:uiPriority w:val="21"/>
    <w:qFormat/>
    <w:rsid w:val="005D694A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5D694A"/>
    <w:rPr>
      <w:color w:val="auto"/>
      <w:u w:val="single" w:color="B5AE53" w:themeColor="accent3"/>
    </w:rPr>
  </w:style>
  <w:style w:type="character" w:styleId="Intenzvnyodkaz">
    <w:name w:val="Intense Reference"/>
    <w:basedOn w:val="Predvolenpsmoodseku"/>
    <w:uiPriority w:val="32"/>
    <w:qFormat/>
    <w:rsid w:val="005D694A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5D694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D694A"/>
    <w:pPr>
      <w:outlineLvl w:val="9"/>
    </w:pPr>
    <w:rPr>
      <w:lang w:bidi="en-US"/>
    </w:rPr>
  </w:style>
  <w:style w:type="table" w:styleId="Mriekatabuky">
    <w:name w:val="Table Grid"/>
    <w:basedOn w:val="Normlnatabuka"/>
    <w:uiPriority w:val="59"/>
    <w:rsid w:val="00DB1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4972DE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14BB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14BB0"/>
  </w:style>
  <w:style w:type="paragraph" w:styleId="Zkladntext2">
    <w:name w:val="Body Text 2"/>
    <w:basedOn w:val="Normlny"/>
    <w:link w:val="Zkladntext2Char"/>
    <w:uiPriority w:val="99"/>
    <w:unhideWhenUsed/>
    <w:rsid w:val="00EC356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EC3560"/>
  </w:style>
  <w:style w:type="paragraph" w:styleId="Textvysvetlivky">
    <w:name w:val="endnote text"/>
    <w:basedOn w:val="Normlny"/>
    <w:link w:val="TextvysvetlivkyChar"/>
    <w:uiPriority w:val="99"/>
    <w:unhideWhenUsed/>
    <w:rsid w:val="002F5A2C"/>
    <w:rPr>
      <w:sz w:val="20"/>
      <w:szCs w:val="32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2F5A2C"/>
    <w:rPr>
      <w:sz w:val="20"/>
      <w:szCs w:val="32"/>
    </w:rPr>
  </w:style>
  <w:style w:type="paragraph" w:customStyle="1" w:styleId="TableText">
    <w:name w:val="Table Text"/>
    <w:basedOn w:val="Normlny"/>
    <w:rsid w:val="00375433"/>
    <w:pPr>
      <w:ind w:firstLine="0"/>
      <w:jc w:val="center"/>
    </w:pPr>
    <w:rPr>
      <w:rFonts w:ascii="Arial" w:eastAsia="Times New Roman" w:hAnsi="Arial" w:cs="Times New Roman"/>
      <w:b/>
      <w:noProof/>
      <w:sz w:val="24"/>
      <w:szCs w:val="20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31AB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C0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C7563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6B0A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6B0A40"/>
    <w:rPr>
      <w:rFonts w:ascii="Tahoma" w:eastAsia="Times New Roman" w:hAnsi="Tahoma" w:cs="Tahoma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4588B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4231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4231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365B19"/>
    <w:rPr>
      <w:color w:val="CCCC00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C0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024F"/>
  </w:style>
  <w:style w:type="paragraph" w:styleId="Pta">
    <w:name w:val="footer"/>
    <w:basedOn w:val="Normlny"/>
    <w:link w:val="PtaChar"/>
    <w:uiPriority w:val="99"/>
    <w:unhideWhenUsed/>
    <w:rsid w:val="00DC0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024F"/>
  </w:style>
  <w:style w:type="paragraph" w:styleId="Textbubliny">
    <w:name w:val="Balloon Text"/>
    <w:basedOn w:val="Normlny"/>
    <w:link w:val="TextbublinyChar"/>
    <w:uiPriority w:val="99"/>
    <w:semiHidden/>
    <w:unhideWhenUsed/>
    <w:rsid w:val="00DC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024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DC024F"/>
    <w:rPr>
      <w:rFonts w:asciiTheme="majorHAnsi" w:eastAsiaTheme="majorEastAsia" w:hAnsiTheme="majorHAnsi" w:cstheme="majorBidi"/>
      <w:b/>
      <w:bCs/>
      <w:color w:val="4C7563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cdcp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cdcp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dc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cdcp.sk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cdcp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theme/theme1.xml><?xml version="1.0" encoding="utf-8"?>
<a:theme xmlns:a="http://schemas.openxmlformats.org/drawingml/2006/main" name="Motív Office">
  <a:themeElements>
    <a:clrScheme name="Basilka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A20E-0A6C-49D8-992A-3AEB73E2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12</Pages>
  <Words>5653</Words>
  <Characters>32227</Characters>
  <Application>Microsoft Office Word</Application>
  <DocSecurity>8</DocSecurity>
  <Lines>268</Lines>
  <Paragraphs>75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Centrálny depozitár cenných papierov SR, a.s.</Company>
  <LinksUpToDate>false</LinksUpToDate>
  <CharactersWithSpaces>37805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Hozzová Vladimíra Mgr.</dc:creator>
  <cp:lastModifiedBy>Feketeová Adriána Mgr.</cp:lastModifiedBy>
  <cp:revision>427</cp:revision>
  <cp:lastPrinted>2017-03-06T12:50:00Z</cp:lastPrinted>
  <dcterms:created xsi:type="dcterms:W3CDTF">2015-09-29T11:29:00Z</dcterms:created>
  <dcterms:modified xsi:type="dcterms:W3CDTF">2019-11-04T07:25:00Z</dcterms:modified>
</cp:coreProperties>
</file>